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color w:val="auto"/>
          <w:sz w:val="84"/>
          <w:szCs w:val="84"/>
          <w:highlight w:val="none"/>
        </w:rPr>
      </w:pPr>
      <w:r>
        <w:rPr>
          <w:rFonts w:hint="eastAsia"/>
          <w:color w:val="auto"/>
          <w:sz w:val="84"/>
          <w:szCs w:val="84"/>
          <w:highlight w:val="none"/>
        </w:rPr>
        <w:t xml:space="preserve">团体标准 </w:t>
      </w:r>
    </w:p>
    <w:p>
      <w:pPr>
        <w:pStyle w:val="55"/>
        <w:framePr w:wrap="around"/>
        <w:wordWrap w:val="0"/>
        <w:rPr>
          <w:color w:val="auto"/>
          <w:highlight w:val="none"/>
        </w:rPr>
      </w:pPr>
      <w:r>
        <w:rPr>
          <w:color w:val="auto"/>
          <w:highlight w:val="none"/>
        </w:rPr>
        <w:t>T/FSS XX-202</w:t>
      </w:r>
      <w:r>
        <w:rPr>
          <w:rFonts w:hint="eastAsia"/>
          <w:color w:val="auto"/>
          <w:highlight w:val="none"/>
        </w:rPr>
        <w:t>5</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PrEx>
        <w:tc>
          <w:tcPr>
            <w:tcW w:w="9739" w:type="dxa"/>
            <w:shd w:val="clear" w:color="auto" w:fill="auto"/>
          </w:tcPr>
          <w:p>
            <w:pPr>
              <w:pStyle w:val="43"/>
              <w:framePr w:wrap="around"/>
              <w:rPr>
                <w:color w:val="auto"/>
                <w:sz w:val="10"/>
                <w:highlight w:val="none"/>
              </w:rPr>
            </w:pPr>
          </w:p>
        </w:tc>
      </w:tr>
    </w:tbl>
    <w:p>
      <w:pPr>
        <w:pStyle w:val="57"/>
        <w:framePr w:wrap="around"/>
        <w:rPr>
          <w:rFonts w:hint="eastAsia" w:eastAsia="黑体"/>
          <w:color w:val="auto"/>
          <w:highlight w:val="none"/>
          <w:lang w:eastAsia="zh-CN"/>
        </w:rPr>
      </w:pPr>
      <w:r>
        <w:rPr>
          <w:rFonts w:hint="eastAsia"/>
          <w:color w:val="auto"/>
          <w:highlight w:val="none"/>
        </w:rPr>
        <w:t xml:space="preserve">佛山标准 </w:t>
      </w:r>
      <w:r>
        <w:rPr>
          <w:color w:val="auto"/>
          <w:highlight w:val="none"/>
        </w:rPr>
        <w:t xml:space="preserve"> </w:t>
      </w:r>
      <w:r>
        <w:rPr>
          <w:rFonts w:hint="eastAsia"/>
          <w:color w:val="auto"/>
          <w:highlight w:val="none"/>
          <w:lang w:eastAsia="zh-CN"/>
        </w:rPr>
        <w:t>床上用品</w:t>
      </w:r>
    </w:p>
    <w:p>
      <w:pPr>
        <w:pStyle w:val="59"/>
        <w:framePr w:wrap="around"/>
        <w:rPr>
          <w:rFonts w:hint="default" w:eastAsia="黑体"/>
          <w:color w:val="auto"/>
          <w:highlight w:val="none"/>
          <w:lang w:val="en-US" w:eastAsia="zh-CN"/>
        </w:rPr>
      </w:pPr>
      <w:r>
        <w:rPr>
          <w:color w:val="auto"/>
          <w:highlight w:val="none"/>
        </w:rPr>
        <w:t xml:space="preserve">Foshan Standard </w:t>
      </w:r>
      <w:r>
        <w:rPr>
          <w:rFonts w:hint="eastAsia"/>
          <w:color w:val="auto"/>
          <w:sz w:val="28"/>
          <w:lang w:val="en-US" w:eastAsia="zh-CN"/>
        </w:rPr>
        <w:t>Bedding</w:t>
      </w:r>
    </w:p>
    <w:p>
      <w:pPr>
        <w:pStyle w:val="63"/>
        <w:framePr w:wrap="around"/>
        <w:spacing w:after="0"/>
        <w:rPr>
          <w:color w:val="auto"/>
          <w:highlight w:val="none"/>
        </w:rPr>
      </w:pPr>
      <w:r>
        <w:rPr>
          <w:color w:val="auto"/>
          <w:highlight w:val="none"/>
        </w:rPr>
        <w:t>(</w:t>
      </w:r>
      <w:r>
        <w:rPr>
          <w:rFonts w:hint="eastAsia"/>
          <w:color w:val="auto"/>
          <w:highlight w:val="none"/>
          <w:lang w:eastAsia="zh-CN"/>
        </w:rPr>
        <w:t>讨论</w:t>
      </w:r>
      <w:r>
        <w:rPr>
          <w:rFonts w:hint="eastAsia"/>
          <w:color w:val="auto"/>
          <w:highlight w:val="none"/>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PrEx>
        <w:trPr>
          <w:trHeight w:val="363" w:hRule="exact"/>
        </w:trPr>
        <w:tc>
          <w:tcPr>
            <w:tcW w:w="4869" w:type="dxa"/>
            <w:shd w:val="clear" w:color="auto" w:fill="auto"/>
            <w:tcMar>
              <w:left w:w="57" w:type="dxa"/>
              <w:bottom w:w="28" w:type="dxa"/>
            </w:tcMar>
          </w:tcPr>
          <w:p>
            <w:pPr>
              <w:pStyle w:val="51"/>
              <w:framePr w:wrap="around"/>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color w:val="auto"/>
                <w:highlight w:val="none"/>
              </w:rPr>
              <w:fldChar w:fldCharType="begin">
                <w:ffData>
                  <w:name w:val="FD"/>
                  <w:enabled/>
                  <w:calcOnExit w:val="0"/>
                  <w:textInput>
                    <w:default w:val="XX"/>
                    <w:maxLength w:val="2"/>
                  </w:textInput>
                </w:ffData>
              </w:fldChar>
            </w:r>
            <w:bookmarkStart w:id="0" w:name="FD"/>
            <w:r>
              <w:rPr>
                <w:color w:val="auto"/>
                <w:highlight w:val="none"/>
              </w:rPr>
              <w:instrText xml:space="preserve"> FORMTEXT </w:instrText>
            </w:r>
            <w:r>
              <w:rPr>
                <w:color w:val="auto"/>
                <w:highlight w:val="none"/>
              </w:rPr>
              <w:fldChar w:fldCharType="separate"/>
            </w:r>
            <w:r>
              <w:rPr>
                <w:color w:val="auto"/>
                <w:highlight w:val="none"/>
              </w:rPr>
              <w:t>XX</w:t>
            </w:r>
            <w:r>
              <w:rPr>
                <w:color w:val="auto"/>
                <w:highlight w:val="none"/>
              </w:rPr>
              <w:fldChar w:fldCharType="end"/>
            </w:r>
            <w:bookmarkEnd w:id="0"/>
            <w:r>
              <w:rPr>
                <w:rFonts w:hint="eastAsia"/>
                <w:color w:val="auto"/>
                <w:highlight w:val="none"/>
              </w:rPr>
              <w:t xml:space="preserve"> 发布</w:t>
            </w:r>
          </w:p>
        </w:tc>
        <w:tc>
          <w:tcPr>
            <w:tcW w:w="4870" w:type="dxa"/>
            <w:shd w:val="clear" w:color="auto" w:fill="auto"/>
            <w:tcMar>
              <w:right w:w="57" w:type="dxa"/>
            </w:tcMar>
          </w:tcPr>
          <w:p>
            <w:pPr>
              <w:pStyle w:val="51"/>
              <w:framePr w:wrap="around"/>
              <w:jc w:val="right"/>
              <w:rPr>
                <w:color w:val="auto"/>
                <w:highlight w:val="none"/>
              </w:rPr>
            </w:pPr>
            <w:r>
              <w:rPr>
                <w:color w:val="auto"/>
                <w:highlight w:val="none"/>
              </w:rPr>
              <w:t>202</w:t>
            </w:r>
            <w:r>
              <w:rPr>
                <w:rFonts w:hint="eastAsia"/>
                <w:color w:val="auto"/>
                <w:highlight w:val="none"/>
              </w:rPr>
              <w:t>5</w:t>
            </w:r>
            <w:r>
              <w:rPr>
                <w:color w:val="auto"/>
                <w:highlight w:val="none"/>
              </w:rPr>
              <w:t>-</w:t>
            </w:r>
            <w:r>
              <w:rPr>
                <w:rFonts w:hint="eastAsia"/>
                <w:color w:val="auto"/>
                <w:highlight w:val="none"/>
              </w:rPr>
              <w:t>XX</w:t>
            </w:r>
            <w:r>
              <w:rPr>
                <w:color w:val="auto"/>
                <w:highlight w:val="none"/>
              </w:rPr>
              <w:t xml:space="preserve"> -</w:t>
            </w:r>
            <w:r>
              <w:rPr>
                <w:rFonts w:hint="eastAsia"/>
                <w:color w:val="auto"/>
                <w:highlight w:val="none"/>
              </w:rPr>
              <w:t>XX 实施</w:t>
            </w:r>
          </w:p>
        </w:tc>
      </w:tr>
    </w:tbl>
    <w:p>
      <w:pPr>
        <w:pStyle w:val="71"/>
        <w:framePr w:wrap="around"/>
        <w:rPr>
          <w:color w:val="auto"/>
          <w:highlight w:val="none"/>
        </w:rPr>
      </w:pPr>
      <w:r>
        <w:rPr>
          <w:rFonts w:hint="eastAsia"/>
          <w:color w:val="auto"/>
          <w:highlight w:val="none"/>
        </w:rPr>
        <w:t>佛山市佛山标准和卓越绩效管理促进会</w:t>
      </w:r>
      <w:r>
        <w:rPr>
          <w:color w:val="auto"/>
          <w:highlight w:val="none"/>
        </w:rPr>
        <w:t>  </w:t>
      </w:r>
      <w:r>
        <w:rPr>
          <w:color w:val="auto"/>
          <w:spacing w:val="85"/>
          <w:highlight w:val="none"/>
        </w:rPr>
        <w:t>发</w:t>
      </w:r>
      <w:r>
        <w:rPr>
          <w:color w:val="auto"/>
          <w:highlight w:val="none"/>
        </w:rP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color w:val="auto"/>
                <w:highlight w:val="none"/>
              </w:rPr>
            </w:pPr>
            <w:r>
              <w:rPr>
                <w:color w:val="auto"/>
                <w:highlight w:val="none"/>
              </w:rPr>
              <w:t xml:space="preserve">ICS </w:t>
            </w:r>
            <w:r>
              <w:rPr>
                <w:rFonts w:hint="eastAsia"/>
                <w:color w:val="auto"/>
                <w:highlight w:val="none"/>
              </w:rPr>
              <w:t>97</w:t>
            </w:r>
            <w:r>
              <w:rPr>
                <w:color w:val="auto"/>
                <w:highlight w:val="none"/>
              </w:rPr>
              <w:t>.</w:t>
            </w:r>
            <w:r>
              <w:rPr>
                <w:rFonts w:hint="eastAsia"/>
                <w:color w:val="auto"/>
                <w:highlight w:val="none"/>
                <w:lang w:val="en-US" w:eastAsia="zh-CN"/>
              </w:rPr>
              <w:t>16</w:t>
            </w:r>
            <w:r>
              <w:rPr>
                <w:rFonts w:hint="eastAsia"/>
                <w:color w:val="auto"/>
                <w:highlight w:val="none"/>
              </w:rPr>
              <w:t>0</w:t>
            </w:r>
          </w:p>
        </w:tc>
        <w:tc>
          <w:tcPr>
            <w:tcW w:w="7795" w:type="dxa"/>
            <w:shd w:val="clear" w:color="auto" w:fill="auto"/>
          </w:tcPr>
          <w:p>
            <w:pPr>
              <w:pStyle w:val="79"/>
              <w:framePr w:wrap="around"/>
              <w:rPr>
                <w:color w:val="auto"/>
                <w:highlight w:val="none"/>
              </w:rPr>
            </w:pPr>
          </w:p>
        </w:tc>
      </w:tr>
      <w:tr>
        <w:tblPrEx>
          <w:tblCellMar>
            <w:top w:w="0" w:type="dxa"/>
            <w:left w:w="0" w:type="dxa"/>
            <w:bottom w:w="0" w:type="dxa"/>
            <w:right w:w="0" w:type="dxa"/>
          </w:tblCellMar>
        </w:tblPrEx>
        <w:tc>
          <w:tcPr>
            <w:tcW w:w="1560" w:type="dxa"/>
            <w:shd w:val="clear" w:color="auto" w:fill="auto"/>
          </w:tcPr>
          <w:p>
            <w:pPr>
              <w:pStyle w:val="79"/>
              <w:framePr w:wrap="around"/>
              <w:rPr>
                <w:rFonts w:hint="default"/>
                <w:color w:val="auto"/>
                <w:highlight w:val="none"/>
                <w:lang w:val="en-US"/>
              </w:rPr>
            </w:pPr>
            <w:r>
              <w:rPr>
                <w:color w:val="auto"/>
                <w:highlight w:val="none"/>
              </w:rPr>
              <w:t xml:space="preserve">CCS </w:t>
            </w:r>
            <w:r>
              <w:rPr>
                <w:rFonts w:hint="eastAsia"/>
                <w:color w:val="auto"/>
                <w:highlight w:val="none"/>
                <w:lang w:val="en-US" w:eastAsia="zh-CN"/>
              </w:rPr>
              <w:t>W</w:t>
            </w:r>
            <w:r>
              <w:rPr>
                <w:rFonts w:hint="eastAsia"/>
                <w:color w:val="auto"/>
                <w:highlight w:val="none"/>
              </w:rPr>
              <w:t xml:space="preserve"> </w:t>
            </w:r>
            <w:r>
              <w:rPr>
                <w:rFonts w:hint="eastAsia"/>
                <w:color w:val="auto"/>
                <w:highlight w:val="none"/>
                <w:lang w:val="en-US" w:eastAsia="zh-CN"/>
              </w:rPr>
              <w:t>57</w:t>
            </w:r>
          </w:p>
        </w:tc>
        <w:tc>
          <w:tcPr>
            <w:tcW w:w="7795" w:type="dxa"/>
            <w:shd w:val="clear" w:color="auto" w:fill="auto"/>
          </w:tcPr>
          <w:p>
            <w:pPr>
              <w:pStyle w:val="79"/>
              <w:framePr w:wrap="around"/>
              <w:rPr>
                <w:color w:val="auto"/>
                <w:highlight w:val="none"/>
              </w:rPr>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color w:val="auto"/>
                      <w:w w:val="130"/>
                      <w:kern w:val="0"/>
                      <w:highlight w:val="none"/>
                    </w:rPr>
                  </w:pPr>
                </w:p>
              </w:tc>
            </w:tr>
          </w:tbl>
          <w:p>
            <w:pPr>
              <w:pStyle w:val="79"/>
              <w:framePr w:wrap="around"/>
              <w:rPr>
                <w:rFonts w:hint="eastAsia" w:eastAsia="黑体"/>
                <w:color w:val="auto"/>
                <w:highlight w:val="none"/>
                <w:lang w:eastAsia="zh-CN"/>
              </w:rPr>
            </w:pPr>
          </w:p>
        </w:tc>
      </w:tr>
    </w:tbl>
    <w:p>
      <w:pPr>
        <w:pStyle w:val="79"/>
        <w:framePr w:wrap="around"/>
        <w:rPr>
          <w:color w:val="auto"/>
          <w:highlight w:val="none"/>
        </w:rPr>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rPr>
          <w:color w:val="auto"/>
          <w:highlight w:val="none"/>
        </w:rPr>
      </w:pPr>
      <w:r>
        <w:rPr>
          <w:rFonts w:hint="eastAsia"/>
          <w:color w:val="auto"/>
          <w:spacing w:val="317"/>
          <w:highlight w:val="none"/>
        </w:rPr>
        <w:t>前</w:t>
      </w:r>
      <w:bookmarkStart w:id="1" w:name="BKQY"/>
      <w:r>
        <w:rPr>
          <w:rFonts w:hint="eastAsia"/>
          <w:color w:val="auto"/>
          <w:highlight w:val="none"/>
        </w:rPr>
        <w:t>言</w:t>
      </w:r>
    </w:p>
    <w:p>
      <w:pPr>
        <w:pStyle w:val="23"/>
        <w:ind w:firstLine="420"/>
        <w:rPr>
          <w:color w:val="auto"/>
          <w:highlight w:val="none"/>
        </w:rPr>
      </w:pPr>
      <w:r>
        <w:rPr>
          <w:rFonts w:hint="eastAsia"/>
          <w:color w:val="auto"/>
          <w:highlight w:val="none"/>
        </w:rPr>
        <w:t>本文件按照GB/T 1.1-2020《标准化工作导则  第1部分：标准化文件的结构和起草规则》的规定起草。</w:t>
      </w:r>
    </w:p>
    <w:p>
      <w:pPr>
        <w:pStyle w:val="23"/>
        <w:ind w:firstLine="420"/>
        <w:rPr>
          <w:color w:val="auto"/>
          <w:highlight w:val="none"/>
        </w:rPr>
      </w:pPr>
      <w:r>
        <w:rPr>
          <w:rFonts w:hint="eastAsia"/>
          <w:color w:val="auto"/>
          <w:highlight w:val="none"/>
        </w:rPr>
        <w:t>请注意本文件的某些内容可能涉及专利，本文件的发布机构不承担识别专利的责任。</w:t>
      </w:r>
    </w:p>
    <w:p>
      <w:pPr>
        <w:pStyle w:val="23"/>
        <w:ind w:firstLine="420"/>
        <w:rPr>
          <w:color w:val="auto"/>
          <w:highlight w:val="none"/>
        </w:rPr>
      </w:pPr>
      <w:r>
        <w:rPr>
          <w:rFonts w:hint="eastAsia"/>
          <w:color w:val="auto"/>
          <w:highlight w:val="none"/>
        </w:rPr>
        <w:t>本文件由佛山市佛山标准和卓越绩效管理促进会提出并归口。</w:t>
      </w:r>
    </w:p>
    <w:p>
      <w:pPr>
        <w:pStyle w:val="23"/>
        <w:ind w:firstLine="420"/>
        <w:rPr>
          <w:rFonts w:hint="eastAsia" w:eastAsia="宋体"/>
          <w:color w:val="auto"/>
          <w:highlight w:val="none"/>
          <w:lang w:eastAsia="zh-CN"/>
        </w:rPr>
      </w:pPr>
      <w:r>
        <w:rPr>
          <w:rFonts w:hint="eastAsia"/>
          <w:color w:val="auto"/>
          <w:highlight w:val="none"/>
        </w:rPr>
        <w:t>本文件起草单位：</w:t>
      </w:r>
      <w:bookmarkStart w:id="85" w:name="_GoBack"/>
      <w:bookmarkEnd w:id="85"/>
      <w:r>
        <w:rPr>
          <w:rFonts w:hint="eastAsia"/>
          <w:color w:val="auto"/>
          <w:highlight w:val="none"/>
          <w:lang w:eastAsia="zh-CN"/>
        </w:rPr>
        <w:t>。</w:t>
      </w:r>
    </w:p>
    <w:p>
      <w:pPr>
        <w:pStyle w:val="23"/>
        <w:ind w:firstLine="420"/>
        <w:rPr>
          <w:color w:val="auto"/>
          <w:highlight w:val="none"/>
        </w:rPr>
      </w:pPr>
      <w:r>
        <w:rPr>
          <w:rFonts w:hint="eastAsia"/>
          <w:color w:val="auto"/>
          <w:highlight w:val="none"/>
        </w:rPr>
        <w:t>本文件主要起草人：。</w:t>
      </w:r>
      <w:bookmarkEnd w:id="1"/>
    </w:p>
    <w:p>
      <w:pPr>
        <w:widowControl/>
        <w:jc w:val="left"/>
        <w:rPr>
          <w:color w:val="auto"/>
          <w:highlight w:val="none"/>
        </w:rPr>
      </w:pPr>
      <w:r>
        <w:rPr>
          <w:color w:val="auto"/>
          <w:highlight w:val="none"/>
        </w:rPr>
        <w:br w:type="page"/>
      </w:r>
    </w:p>
    <w:p>
      <w:pPr>
        <w:pStyle w:val="83"/>
        <w:spacing w:after="468"/>
        <w:rPr>
          <w:color w:val="auto"/>
          <w:highlight w:val="none"/>
        </w:rPr>
      </w:pPr>
      <w:r>
        <w:rPr>
          <w:rFonts w:hint="eastAsia"/>
          <w:color w:val="auto"/>
          <w:spacing w:val="317"/>
          <w:highlight w:val="none"/>
        </w:rPr>
        <w:t>引</w:t>
      </w:r>
      <w:bookmarkStart w:id="2" w:name="BKYY"/>
      <w:r>
        <w:rPr>
          <w:rFonts w:hint="eastAsia"/>
          <w:color w:val="auto"/>
          <w:highlight w:val="none"/>
        </w:rPr>
        <w:t>言</w:t>
      </w:r>
    </w:p>
    <w:p>
      <w:pPr>
        <w:pStyle w:val="23"/>
        <w:ind w:firstLine="420"/>
        <w:rPr>
          <w:color w:val="auto"/>
          <w:highlight w:val="none"/>
        </w:rPr>
      </w:pPr>
      <w:r>
        <w:rPr>
          <w:rFonts w:hint="eastAsia"/>
          <w:color w:val="auto"/>
          <w:highlight w:val="none"/>
        </w:rPr>
        <w:t>佛山标准是佛山市为推动制造业高质量发展，打造的系列先进标准。</w:t>
      </w:r>
    </w:p>
    <w:p>
      <w:pPr>
        <w:pStyle w:val="23"/>
        <w:ind w:firstLine="420"/>
        <w:rPr>
          <w:color w:val="auto"/>
          <w:highlight w:val="none"/>
        </w:rPr>
      </w:pPr>
      <w:r>
        <w:rPr>
          <w:rFonts w:hint="eastAsia"/>
          <w:color w:val="auto"/>
          <w:highlight w:val="none"/>
        </w:rPr>
        <w:t>佛山标准倡导“标准决定质量，只有高标准才有高质量”的理念，坚持“国内领先、国际先进”定位，聚焦佛山制造业重点产业</w:t>
      </w:r>
      <w:r>
        <w:rPr>
          <w:rFonts w:hint="eastAsia"/>
          <w:color w:val="auto"/>
          <w:highlight w:val="none"/>
          <w:lang w:eastAsia="zh-CN"/>
        </w:rPr>
        <w:t>床上用品</w:t>
      </w:r>
      <w:r>
        <w:rPr>
          <w:rFonts w:hint="eastAsia"/>
          <w:color w:val="auto"/>
          <w:highlight w:val="none"/>
        </w:rPr>
        <w:t>，对标国内国际先进标准，围绕消费升级方向，提升标准和质量水平，增加优质</w:t>
      </w:r>
      <w:r>
        <w:rPr>
          <w:rFonts w:hint="eastAsia"/>
          <w:color w:val="auto"/>
          <w:highlight w:val="none"/>
          <w:lang w:eastAsia="zh-CN"/>
        </w:rPr>
        <w:t>床上用品</w:t>
      </w:r>
      <w:r>
        <w:rPr>
          <w:rFonts w:hint="eastAsia"/>
          <w:color w:val="auto"/>
          <w:highlight w:val="none"/>
        </w:rPr>
        <w:t>供给，以高标准打造中国制造品质高地，满足人民日益增长的美好生活需要。</w:t>
      </w:r>
      <w:bookmarkEnd w:id="2"/>
    </w:p>
    <w:p>
      <w:pPr>
        <w:rPr>
          <w:color w:val="auto"/>
          <w:highlight w:val="none"/>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color w:val="auto"/>
          <w:highlight w:val="none"/>
        </w:rPr>
        <w:tag w:val="StandardName"/>
        <w:id w:val="-1788579198"/>
        <w:lock w:val="sdtLocked"/>
        <w:placeholder>
          <w:docPart w:val="DefaultPlaceholder_-1854013440"/>
        </w:placeholder>
      </w:sdtPr>
      <w:sdtEndPr>
        <w:rPr>
          <w:rStyle w:val="86"/>
          <w:rFonts w:hint="default"/>
          <w:color w:val="auto"/>
          <w:highlight w:val="none"/>
        </w:rPr>
      </w:sdtEndPr>
      <w:sdtContent>
        <w:p>
          <w:pPr>
            <w:pStyle w:val="85"/>
            <w:rPr>
              <w:rStyle w:val="86"/>
              <w:color w:val="auto"/>
              <w:highlight w:val="none"/>
            </w:rPr>
          </w:pPr>
          <w:bookmarkStart w:id="3" w:name="StandardName"/>
          <w:r>
            <w:rPr>
              <w:rStyle w:val="86"/>
              <w:rFonts w:hint="eastAsia"/>
              <w:color w:val="auto"/>
              <w:highlight w:val="none"/>
            </w:rPr>
            <w:t xml:space="preserve">佛山标准 </w:t>
          </w:r>
          <w:bookmarkEnd w:id="3"/>
          <w:r>
            <w:rPr>
              <w:rStyle w:val="86"/>
              <w:rFonts w:hint="eastAsia"/>
              <w:color w:val="auto"/>
              <w:highlight w:val="none"/>
              <w:lang w:eastAsia="zh-CN"/>
            </w:rPr>
            <w:t>床上用品</w:t>
          </w:r>
        </w:p>
      </w:sdtContent>
    </w:sdt>
    <w:p>
      <w:pPr>
        <w:pStyle w:val="117"/>
        <w:spacing w:before="312" w:after="312"/>
        <w:rPr>
          <w:color w:val="auto"/>
          <w:spacing w:val="0"/>
          <w:w w:val="100"/>
          <w:position w:val="0"/>
          <w:highlight w:val="none"/>
        </w:rPr>
      </w:pPr>
      <w:r>
        <w:rPr>
          <w:rFonts w:hint="eastAsia"/>
          <w:color w:val="auto"/>
          <w:spacing w:val="0"/>
          <w:w w:val="100"/>
          <w:position w:val="0"/>
          <w:highlight w:val="none"/>
        </w:rPr>
        <w:t>范围</w:t>
      </w:r>
    </w:p>
    <w:p>
      <w:pPr>
        <w:pStyle w:val="23"/>
        <w:ind w:firstLine="420"/>
        <w:rPr>
          <w:rFonts w:hint="eastAsia"/>
          <w:color w:val="auto"/>
          <w:spacing w:val="0"/>
          <w:w w:val="100"/>
          <w:position w:val="0"/>
          <w:highlight w:val="none"/>
        </w:rPr>
      </w:pPr>
      <w:r>
        <w:rPr>
          <w:rFonts w:hint="eastAsia"/>
          <w:color w:val="auto"/>
          <w:spacing w:val="0"/>
          <w:w w:val="100"/>
          <w:position w:val="0"/>
          <w:highlight w:val="none"/>
        </w:rPr>
        <w:t>本文件规定了床上用品的要求、试验方法、检验规则、标志、包装</w:t>
      </w:r>
      <w:r>
        <w:rPr>
          <w:rFonts w:hint="eastAsia"/>
          <w:color w:val="auto"/>
          <w:spacing w:val="0"/>
          <w:w w:val="100"/>
          <w:position w:val="0"/>
          <w:highlight w:val="none"/>
          <w:lang w:eastAsia="zh-CN"/>
        </w:rPr>
        <w:t>、运输和贮存</w:t>
      </w:r>
      <w:r>
        <w:rPr>
          <w:rFonts w:hint="eastAsia"/>
          <w:color w:val="auto"/>
          <w:spacing w:val="0"/>
          <w:w w:val="100"/>
          <w:position w:val="0"/>
          <w:highlight w:val="none"/>
        </w:rPr>
        <w:t>。</w:t>
      </w:r>
    </w:p>
    <w:p>
      <w:pPr>
        <w:pStyle w:val="23"/>
        <w:ind w:firstLine="420"/>
        <w:rPr>
          <w:rFonts w:hint="eastAsia"/>
          <w:color w:val="auto"/>
          <w:spacing w:val="0"/>
          <w:w w:val="100"/>
          <w:position w:val="0"/>
          <w:highlight w:val="none"/>
        </w:rPr>
      </w:pPr>
      <w:r>
        <w:rPr>
          <w:rFonts w:hint="eastAsia"/>
          <w:color w:val="auto"/>
          <w:spacing w:val="0"/>
          <w:w w:val="100"/>
          <w:position w:val="0"/>
          <w:highlight w:val="none"/>
        </w:rPr>
        <w:t>本文件适用于以纺织织物为面、里料，以絮用纤维、蚕丝、羽绒羽毛、PE软管、聚氨酯材料、乳胶/乳胶颗粒等纯材料或其混合材料或其复合材料为填充物或无填充物生产的床上用品。</w:t>
      </w:r>
    </w:p>
    <w:p>
      <w:pPr>
        <w:pStyle w:val="23"/>
        <w:ind w:firstLine="420"/>
        <w:rPr>
          <w:rFonts w:hint="eastAsia"/>
          <w:color w:val="auto"/>
          <w:spacing w:val="0"/>
          <w:w w:val="100"/>
          <w:position w:val="0"/>
          <w:highlight w:val="none"/>
        </w:rPr>
      </w:pPr>
      <w:r>
        <w:rPr>
          <w:rFonts w:hint="eastAsia"/>
          <w:color w:val="auto"/>
          <w:spacing w:val="0"/>
          <w:w w:val="100"/>
          <w:position w:val="0"/>
          <w:highlight w:val="none"/>
        </w:rPr>
        <w:t>本文件不适用于年龄在36个月及以下的婴幼儿床上用品。</w:t>
      </w:r>
    </w:p>
    <w:p>
      <w:pPr>
        <w:pStyle w:val="117"/>
        <w:spacing w:before="312" w:after="312"/>
        <w:rPr>
          <w:color w:val="auto"/>
          <w:spacing w:val="0"/>
          <w:w w:val="100"/>
          <w:position w:val="0"/>
          <w:highlight w:val="none"/>
        </w:rPr>
      </w:pPr>
      <w:r>
        <w:rPr>
          <w:rFonts w:hint="eastAsia"/>
          <w:color w:val="auto"/>
          <w:spacing w:val="0"/>
          <w:w w:val="100"/>
          <w:position w:val="0"/>
          <w:highlight w:val="none"/>
        </w:rPr>
        <w:t>规范性引用文件</w:t>
      </w:r>
    </w:p>
    <w:sdt>
      <w:sdtPr>
        <w:rPr>
          <w:color w:val="auto"/>
          <w:spacing w:val="0"/>
          <w:w w:val="100"/>
          <w:position w:val="0"/>
          <w:highlight w:val="none"/>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spacing w:val="0"/>
          <w:w w:val="100"/>
          <w:position w:val="0"/>
          <w:highlight w:val="none"/>
        </w:rPr>
      </w:sdtEndPr>
      <w:sdtContent>
        <w:p>
          <w:pPr>
            <w:pStyle w:val="23"/>
            <w:ind w:firstLine="420"/>
            <w:rPr>
              <w:color w:val="auto"/>
              <w:spacing w:val="0"/>
              <w:w w:val="100"/>
              <w:position w:val="0"/>
              <w:highlight w:val="none"/>
            </w:rPr>
          </w:pPr>
          <w:r>
            <w:rPr>
              <w:color w:val="auto"/>
              <w:spacing w:val="0"/>
              <w:w w:val="100"/>
              <w:position w:val="0"/>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widowControl/>
        <w:ind w:firstLine="420" w:firstLineChars="200"/>
        <w:rPr>
          <w:rFonts w:cs="Times New Roman"/>
          <w:color w:val="auto"/>
          <w:spacing w:val="0"/>
          <w:w w:val="100"/>
          <w:position w:val="0"/>
          <w:szCs w:val="21"/>
          <w:highlight w:val="none"/>
        </w:rPr>
      </w:pPr>
      <w:bookmarkStart w:id="4" w:name="OLE_LINK10"/>
      <w:r>
        <w:rPr>
          <w:rFonts w:cs="Times New Roman"/>
          <w:color w:val="auto"/>
          <w:spacing w:val="0"/>
          <w:w w:val="100"/>
          <w:position w:val="0"/>
          <w:szCs w:val="21"/>
          <w:highlight w:val="none"/>
        </w:rPr>
        <w:t>GB/T 250 纺织品 色牢度试验 评定变色用灰色样卡</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2910（所有部分）纺织品 定量化学分析方法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3920 纺织品 色牢度试验 耐摩擦色牢度</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3921</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2008 纺织品 色牢度试验 耐皂洗色牢度</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3922 纺织品 色牢度试验 耐汗渍色牢度</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3923.1 纺织品 织物拉伸性能 第1部分</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断裂强力和断裂伸长率的测定（条样法）</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4498.1 橡胶 灰分的测定 第1部分：马弗炉法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4802.1</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2008 纺织品 织物起毛起球性能的测定 第1部分：圆轨迹法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4802.2 纺织品 织物起毛起球性能的测定 第2部分：改型马丁代尔法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4841.3 染料染色标准深度色卡2/1、1/3、1/6、1/12、1/25</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5296.4 消费品使用说明 第4部分：纺织品和服装</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5711 纺织品 色牢度试验 耐四氯乙烯干洗色牢度</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6040 红外光谱分析方法通则</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6504 化学纤维 含油率试验方法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6977 洗净羊毛乙醇萃取物、灰分、植物性杂质、总碱不溶物含量试验方法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8427</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2019 纺织品色牢度试验耐人造光色牢度：氤弧</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8628 纺织品 测定尺寸变化的试验中织物试样和服装的准备、标记和测量</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8629</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2017 纺织品 试验用家庭洗涤和干燥程序</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8630 纺织品 洗涤和干燥后尺寸变化的测定</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14801 机织物与针织物纬斜和弓纬试验方法</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14837.1 橡胶和橡胶制品 热重分析法测定硫化胶和未硫化胶的成分 第1部分：丁二烯橡胶、乙烯-丙烯二元和三元共聚物、异丁烯-异戊二烯橡胶、异戊二烯橡胶、苯乙烯-丁二烯橡胶</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 18383 絮用纤维制品通用技术要求</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 18401 国家纺织产品基本安全技术规范</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19976 纺织品 顶破强力的测定 钢球法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19981.2 纺织品 织物和服装的专业维护、干洗和湿洗 第2部分：使用四氯乙烯干洗和整烫时性能试验的程序</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19981.3 纺织品 织物和服装的专业维护、干洗和湿洗 第3部分：使用烃类溶剂干洗和整烫时性能试验的程序</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20944.3-2008 纺织品 抗菌性能的评价 第3部分：振荡法</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21870  天然胶乳医用手套水抽提蛋白质的测定 改进Lowry法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22796</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2021 床上用品</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22933 皮革和毛皮　化学试验　游离脂肪酸的测定</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24121 纺织制品 断针类残留物的检测方法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24253 纺织品 防螨性能的评价</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GB/T 29613.1 橡胶 裂解气相色谱分析法 第1部分：聚合物（单一及并用）的鉴定</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29862 纺织品 纤维含量的标识</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29866 纺织品 吸湿发热性能试验方法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30127 纺织品 远红外性能的检测和评价</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30128 纺织品 负离子发生量的检测和评价</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 31701 婴幼儿及儿童纺织产品安全技术规范</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33610.2 纺织品 消臭性能的测定 第2部分：检知管法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GB/T 35263 纺织品 接触瞬间凉感性能的检测和评价</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FZ/T 01057（所有部分）纺织品纤维鉴别试验方法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FZ/T 40006 蚕丝含油率试验方法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FZ/T 60029 毛毯脱毛测试方法</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QB/T 1196</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2012 羽绒羽毛枕、垫</w:t>
      </w:r>
    </w:p>
    <w:p>
      <w:pPr>
        <w:widowControl/>
        <w:ind w:firstLine="420" w:firstLineChars="200"/>
        <w:rPr>
          <w:rFonts w:cs="Times New Roman"/>
          <w:color w:val="auto"/>
          <w:spacing w:val="0"/>
          <w:w w:val="100"/>
          <w:position w:val="0"/>
          <w:szCs w:val="21"/>
          <w:highlight w:val="none"/>
        </w:rPr>
      </w:pPr>
      <w:r>
        <w:rPr>
          <w:rFonts w:hint="eastAsia" w:cs="Times New Roman"/>
          <w:color w:val="auto"/>
          <w:spacing w:val="0"/>
          <w:w w:val="100"/>
          <w:position w:val="0"/>
          <w:szCs w:val="21"/>
          <w:highlight w:val="none"/>
        </w:rPr>
        <w:t>QB/T 1193-2023  羽绒羽毛被</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GSB 16</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1523 针织物起毛起球样照</w:t>
      </w:r>
    </w:p>
    <w:p>
      <w:pPr>
        <w:widowControl/>
        <w:ind w:firstLine="420" w:firstLineChars="200"/>
        <w:rPr>
          <w:rFonts w:cs="Times New Roman"/>
          <w:color w:val="auto"/>
          <w:spacing w:val="0"/>
          <w:w w:val="100"/>
          <w:position w:val="0"/>
          <w:szCs w:val="21"/>
          <w:highlight w:val="none"/>
        </w:rPr>
      </w:pPr>
      <w:r>
        <w:rPr>
          <w:rFonts w:cs="Times New Roman"/>
          <w:color w:val="auto"/>
          <w:spacing w:val="0"/>
          <w:w w:val="100"/>
          <w:position w:val="0"/>
          <w:szCs w:val="21"/>
          <w:highlight w:val="none"/>
        </w:rPr>
        <w:t>GSB 16</w:t>
      </w:r>
      <w:r>
        <w:rPr>
          <w:rFonts w:hint="eastAsia" w:cs="Times New Roman"/>
          <w:color w:val="auto"/>
          <w:spacing w:val="0"/>
          <w:w w:val="100"/>
          <w:position w:val="0"/>
          <w:szCs w:val="21"/>
          <w:highlight w:val="none"/>
          <w:lang w:eastAsia="zh-CN"/>
        </w:rPr>
        <w:t>—</w:t>
      </w:r>
      <w:r>
        <w:rPr>
          <w:rFonts w:cs="Times New Roman"/>
          <w:color w:val="auto"/>
          <w:spacing w:val="0"/>
          <w:w w:val="100"/>
          <w:position w:val="0"/>
          <w:szCs w:val="21"/>
          <w:highlight w:val="none"/>
        </w:rPr>
        <w:t>3223 家用纺织品 起球标准样照</w:t>
      </w:r>
    </w:p>
    <w:bookmarkEnd w:id="4"/>
    <w:p>
      <w:pPr>
        <w:pStyle w:val="117"/>
        <w:spacing w:before="312" w:after="312"/>
        <w:rPr>
          <w:color w:val="auto"/>
          <w:spacing w:val="0"/>
          <w:w w:val="100"/>
          <w:position w:val="0"/>
          <w:highlight w:val="none"/>
        </w:rPr>
      </w:pPr>
      <w:bookmarkStart w:id="5" w:name="_Toc97195093"/>
      <w:bookmarkStart w:id="6" w:name="_Hlk130722279"/>
      <w:r>
        <w:rPr>
          <w:rFonts w:hint="eastAsia"/>
          <w:color w:val="auto"/>
          <w:spacing w:val="0"/>
          <w:w w:val="100"/>
          <w:position w:val="0"/>
          <w:szCs w:val="21"/>
          <w:highlight w:val="none"/>
        </w:rPr>
        <w:t>术语和定义</w:t>
      </w:r>
      <w:bookmarkEnd w:id="5"/>
    </w:p>
    <w:sdt>
      <w:sdtPr>
        <w:rPr>
          <w:rFonts w:hint="eastAsia"/>
          <w:color w:val="auto"/>
          <w:spacing w:val="0"/>
          <w:w w:val="100"/>
          <w:position w:val="0"/>
          <w:highlight w:val="none"/>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spacing w:val="0"/>
          <w:w w:val="100"/>
          <w:position w:val="0"/>
          <w:highlight w:val="none"/>
        </w:rPr>
      </w:sdtEndPr>
      <w:sdtContent>
        <w:p>
          <w:pPr>
            <w:pStyle w:val="23"/>
            <w:ind w:firstLine="420"/>
            <w:rPr>
              <w:color w:val="auto"/>
              <w:spacing w:val="0"/>
              <w:w w:val="100"/>
              <w:position w:val="0"/>
              <w:highlight w:val="none"/>
            </w:rPr>
          </w:pPr>
          <w:bookmarkStart w:id="7" w:name="_Toc26986532"/>
          <w:bookmarkEnd w:id="7"/>
          <w:r>
            <w:rPr>
              <w:color w:val="auto"/>
              <w:spacing w:val="0"/>
              <w:w w:val="100"/>
              <w:position w:val="0"/>
            </w:rPr>
            <w:t xml:space="preserve">GB/T </w:t>
          </w:r>
          <w:r>
            <w:rPr>
              <w:rFonts w:hint="eastAsia"/>
              <w:color w:val="auto"/>
              <w:spacing w:val="0"/>
              <w:w w:val="100"/>
              <w:position w:val="0"/>
              <w:lang w:val="en-US" w:eastAsia="zh-CN"/>
            </w:rPr>
            <w:t>22796—2021</w:t>
          </w:r>
          <w:r>
            <w:rPr>
              <w:rFonts w:hint="eastAsia" w:ascii="宋体" w:hAnsi="Times New Roman" w:eastAsia="宋体" w:cstheme="minorBidi"/>
              <w:color w:val="auto"/>
              <w:spacing w:val="0"/>
              <w:w w:val="100"/>
              <w:position w:val="0"/>
              <w:sz w:val="21"/>
              <w:highlight w:val="none"/>
              <w:lang w:val="en-US" w:eastAsia="zh-CN" w:bidi="ar-SA"/>
            </w:rPr>
            <w:t>界定的术语和定义适用于本文件。</w:t>
          </w:r>
        </w:p>
      </w:sdtContent>
    </w:sdt>
    <w:p>
      <w:pPr>
        <w:pStyle w:val="117"/>
        <w:spacing w:before="312" w:after="312"/>
        <w:rPr>
          <w:rFonts w:ascii="黑体" w:eastAsia="黑体"/>
          <w:color w:val="auto"/>
          <w:spacing w:val="0"/>
          <w:w w:val="100"/>
          <w:position w:val="0"/>
          <w:sz w:val="21"/>
        </w:rPr>
      </w:pPr>
      <w:r>
        <w:rPr>
          <w:rFonts w:ascii="黑体" w:eastAsia="黑体"/>
          <w:color w:val="auto"/>
          <w:spacing w:val="0"/>
          <w:w w:val="100"/>
          <w:position w:val="0"/>
          <w:sz w:val="21"/>
        </w:rPr>
        <w:t>要求</w:t>
      </w:r>
    </w:p>
    <w:p>
      <w:pPr>
        <w:pStyle w:val="119"/>
        <w:spacing w:before="156" w:after="156"/>
        <w:rPr>
          <w:rFonts w:hint="eastAsia"/>
          <w:color w:val="auto"/>
          <w:spacing w:val="0"/>
          <w:w w:val="100"/>
          <w:position w:val="0"/>
          <w:sz w:val="21"/>
          <w:lang w:val="en-US" w:eastAsia="zh-CN"/>
        </w:rPr>
      </w:pPr>
      <w:r>
        <w:rPr>
          <w:rFonts w:hint="eastAsia"/>
          <w:color w:val="auto"/>
          <w:spacing w:val="0"/>
          <w:w w:val="100"/>
          <w:position w:val="0"/>
          <w:sz w:val="21"/>
          <w:lang w:val="en-US" w:eastAsia="zh-CN"/>
        </w:rPr>
        <w:t>卫生安全</w:t>
      </w:r>
    </w:p>
    <w:p>
      <w:pPr>
        <w:pStyle w:val="131"/>
        <w:widowControl w:val="0"/>
        <w:numPr>
          <w:ilvl w:val="2"/>
          <w:numId w:val="0"/>
        </w:numPr>
        <w:ind w:leftChars="0" w:firstLine="398" w:firstLineChars="200"/>
        <w:rPr>
          <w:rFonts w:hint="eastAsia"/>
          <w:color w:val="auto"/>
          <w:w w:val="95"/>
          <w:sz w:val="21"/>
          <w:lang w:eastAsia="zh-CN"/>
        </w:rPr>
      </w:pPr>
      <w:bookmarkStart w:id="8" w:name="4.1　产品的要求分为基本要求、内在质量、外观质量和工艺质量四个方面。"/>
      <w:bookmarkEnd w:id="8"/>
      <w:bookmarkStart w:id="9" w:name="4.3　产品的基本要求应符合GB 18401要求，其中儿童产品的基本要求应符合G"/>
      <w:bookmarkEnd w:id="9"/>
      <w:r>
        <w:rPr>
          <w:rFonts w:hint="eastAsia"/>
          <w:color w:val="auto"/>
          <w:w w:val="95"/>
          <w:sz w:val="21"/>
          <w:lang w:eastAsia="zh-CN"/>
        </w:rPr>
        <w:t>产品的卫生安全应符合GB 18401的要求，其中儿童产品的卫生安全还应符合GB 31701的要求。</w:t>
      </w:r>
    </w:p>
    <w:p>
      <w:pPr>
        <w:pStyle w:val="119"/>
        <w:spacing w:before="156" w:after="156"/>
        <w:rPr>
          <w:rFonts w:hint="eastAsia"/>
          <w:color w:val="auto"/>
          <w:spacing w:val="0"/>
          <w:w w:val="100"/>
          <w:position w:val="0"/>
          <w:sz w:val="21"/>
          <w:lang w:eastAsia="zh-CN"/>
        </w:rPr>
      </w:pPr>
      <w:bookmarkStart w:id="10" w:name="4.4　填充物中絮用纤维应符合GB 18383的要求。"/>
      <w:bookmarkEnd w:id="10"/>
      <w:bookmarkStart w:id="11" w:name="4.5　内在质量要求"/>
      <w:bookmarkEnd w:id="11"/>
      <w:r>
        <w:rPr>
          <w:rFonts w:hint="eastAsia"/>
          <w:color w:val="auto"/>
          <w:spacing w:val="0"/>
          <w:w w:val="100"/>
          <w:position w:val="0"/>
          <w:sz w:val="21"/>
          <w:lang w:eastAsia="zh-CN"/>
        </w:rPr>
        <w:t>内在质量</w:t>
      </w:r>
    </w:p>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rPr>
      </w:pPr>
      <w:bookmarkStart w:id="12" w:name="4.5.1 填充物的要求应符合表1规定。混合填充物需提供各组分的纯填充物安排相应"/>
      <w:bookmarkEnd w:id="12"/>
      <w:bookmarkStart w:id="13" w:name="OLE_LINK9"/>
      <w:r>
        <w:rPr>
          <w:rFonts w:hint="eastAsia" w:ascii="黑体" w:hAnsi="黑体" w:eastAsia="黑体" w:cs="黑体"/>
          <w:color w:val="auto"/>
          <w:w w:val="95"/>
          <w:sz w:val="21"/>
        </w:rPr>
        <w:t>填充物</w:t>
      </w:r>
      <w:r>
        <w:rPr>
          <w:rFonts w:hint="eastAsia" w:ascii="黑体" w:hAnsi="黑体" w:eastAsia="黑体" w:cs="黑体"/>
          <w:color w:val="auto"/>
          <w:w w:val="95"/>
          <w:sz w:val="21"/>
          <w:lang w:eastAsia="zh-CN"/>
        </w:rPr>
        <w:t>质量</w:t>
      </w:r>
    </w:p>
    <w:bookmarkEnd w:id="13"/>
    <w:p>
      <w:pPr>
        <w:pStyle w:val="131"/>
        <w:widowControl w:val="0"/>
        <w:numPr>
          <w:ilvl w:val="2"/>
          <w:numId w:val="0"/>
        </w:numPr>
        <w:ind w:leftChars="0" w:firstLine="398" w:firstLineChars="200"/>
        <w:rPr>
          <w:color w:val="auto"/>
        </w:rPr>
      </w:pPr>
      <w:r>
        <w:rPr>
          <w:color w:val="auto"/>
          <w:w w:val="95"/>
          <w:sz w:val="21"/>
        </w:rPr>
        <w:t>应符合表1</w:t>
      </w:r>
      <w:r>
        <w:rPr>
          <w:rFonts w:hint="eastAsia"/>
          <w:color w:val="auto"/>
          <w:spacing w:val="-1"/>
          <w:w w:val="95"/>
          <w:sz w:val="21"/>
          <w:lang w:eastAsia="zh-CN"/>
        </w:rPr>
        <w:t>的要求</w:t>
      </w:r>
      <w:r>
        <w:rPr>
          <w:color w:val="auto"/>
          <w:spacing w:val="-1"/>
          <w:w w:val="95"/>
          <w:sz w:val="21"/>
        </w:rPr>
        <w:t>。混合填充物需提供各组分的纯填充物安排相应测试，否则仅考核</w:t>
      </w:r>
      <w:r>
        <w:rPr>
          <w:color w:val="auto"/>
          <w:w w:val="95"/>
        </w:rPr>
        <w:t>1、2、4项。PE</w:t>
      </w:r>
      <w:r>
        <w:rPr>
          <w:color w:val="auto"/>
          <w:spacing w:val="-1"/>
          <w:w w:val="95"/>
        </w:rPr>
        <w:t>软管、聚氨酯材料、乳胶/乳胶颗粒填充物只考核材质鉴别、异味。</w:t>
      </w:r>
    </w:p>
    <w:p>
      <w:pPr>
        <w:pStyle w:val="208"/>
        <w:tabs>
          <w:tab w:val="left" w:pos="0"/>
        </w:tabs>
        <w:spacing w:before="156" w:after="156"/>
        <w:rPr>
          <w:rFonts w:ascii="黑体" w:eastAsia="黑体"/>
          <w:color w:val="auto"/>
        </w:rPr>
      </w:pPr>
      <w:r>
        <w:rPr>
          <w:rFonts w:ascii="黑体" w:eastAsia="黑体"/>
          <w:color w:val="auto"/>
          <w:spacing w:val="-12"/>
        </w:rPr>
        <w:t>填充物</w:t>
      </w:r>
      <w:r>
        <w:rPr>
          <w:rFonts w:hint="eastAsia"/>
          <w:color w:val="auto"/>
          <w:spacing w:val="-12"/>
          <w:lang w:eastAsia="zh-CN"/>
        </w:rPr>
        <w:t>质量</w:t>
      </w:r>
    </w:p>
    <w:tbl>
      <w:tblPr>
        <w:tblStyle w:val="18"/>
        <w:tblW w:w="9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1174"/>
        <w:gridCol w:w="2501"/>
        <w:gridCol w:w="4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kern w:val="2"/>
                <w:sz w:val="18"/>
                <w:szCs w:val="18"/>
                <w:lang w:val="en-US" w:eastAsia="zh-CN" w:bidi="ar-SA"/>
              </w:rPr>
            </w:pPr>
            <w:r>
              <w:rPr>
                <w:rFonts w:hint="eastAsia" w:ascii="宋体" w:hAnsi="宋体" w:eastAsia="宋体" w:cs="宋体"/>
                <w:color w:val="auto"/>
                <w:spacing w:val="-3"/>
                <w:sz w:val="18"/>
                <w:szCs w:val="18"/>
              </w:rPr>
              <w:t>序号</w:t>
            </w:r>
          </w:p>
        </w:tc>
        <w:tc>
          <w:tcPr>
            <w:tcW w:w="3675"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考核项目</w:t>
            </w:r>
          </w:p>
        </w:tc>
        <w:tc>
          <w:tcPr>
            <w:tcW w:w="4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1</w:t>
            </w:r>
          </w:p>
        </w:tc>
        <w:tc>
          <w:tcPr>
            <w:tcW w:w="3675"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vertAlign w:val="superscript"/>
              </w:rPr>
              <w:t>a</w:t>
            </w:r>
            <w:r>
              <w:rPr>
                <w:rFonts w:hint="eastAsia" w:ascii="宋体" w:hAnsi="宋体" w:eastAsia="宋体" w:cs="宋体"/>
                <w:color w:val="auto"/>
                <w:spacing w:val="-3"/>
                <w:sz w:val="18"/>
                <w:szCs w:val="18"/>
              </w:rPr>
              <w:t>纤维含量 /%</w:t>
            </w:r>
          </w:p>
        </w:tc>
        <w:tc>
          <w:tcPr>
            <w:tcW w:w="4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羽绒羽毛的绒子含量偏差符合QB/T 1196-2012</w:t>
            </w:r>
            <w:r>
              <w:rPr>
                <w:rFonts w:hint="eastAsia" w:hAnsi="宋体" w:cs="宋体"/>
                <w:color w:val="auto"/>
                <w:spacing w:val="-3"/>
                <w:sz w:val="18"/>
                <w:szCs w:val="18"/>
                <w:lang w:eastAsia="zh-CN"/>
              </w:rPr>
              <w:t>中</w:t>
            </w:r>
            <w:r>
              <w:rPr>
                <w:rFonts w:hint="eastAsia" w:ascii="宋体" w:hAnsi="宋体" w:eastAsia="宋体" w:cs="宋体"/>
                <w:color w:val="auto"/>
                <w:spacing w:val="-3"/>
                <w:sz w:val="18"/>
                <w:szCs w:val="18"/>
              </w:rPr>
              <w:t>4.3表1要求，其他纤维含量允许偏差符合GB/T 29862要求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2</w:t>
            </w:r>
          </w:p>
        </w:tc>
        <w:tc>
          <w:tcPr>
            <w:tcW w:w="3675"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vertAlign w:val="superscript"/>
              </w:rPr>
              <w:t>b</w:t>
            </w:r>
            <w:r>
              <w:rPr>
                <w:rFonts w:hint="eastAsia" w:ascii="宋体" w:hAnsi="宋体" w:eastAsia="宋体" w:cs="宋体"/>
                <w:color w:val="auto"/>
                <w:spacing w:val="-3"/>
                <w:sz w:val="18"/>
                <w:szCs w:val="18"/>
              </w:rPr>
              <w:t>材质鉴别</w:t>
            </w:r>
          </w:p>
        </w:tc>
        <w:tc>
          <w:tcPr>
            <w:tcW w:w="4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应与声称材质一致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3</w:t>
            </w:r>
          </w:p>
        </w:tc>
        <w:tc>
          <w:tcPr>
            <w:tcW w:w="3675"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vertAlign w:val="superscript"/>
              </w:rPr>
              <w:t>c</w:t>
            </w:r>
            <w:r>
              <w:rPr>
                <w:rFonts w:hint="eastAsia" w:ascii="宋体" w:hAnsi="宋体" w:eastAsia="宋体" w:cs="宋体"/>
                <w:color w:val="auto"/>
                <w:spacing w:val="-3"/>
                <w:sz w:val="18"/>
                <w:szCs w:val="18"/>
              </w:rPr>
              <w:t>填充物含油率 /% ≤</w:t>
            </w:r>
          </w:p>
        </w:tc>
        <w:tc>
          <w:tcPr>
            <w:tcW w:w="4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1.</w:t>
            </w:r>
            <w:r>
              <w:rPr>
                <w:rFonts w:hint="eastAsia" w:hAnsi="宋体" w:cs="宋体"/>
                <w:color w:val="auto"/>
                <w:spacing w:val="-3"/>
                <w:sz w:val="18"/>
                <w:szCs w:val="18"/>
                <w:lang w:val="en-US" w:eastAsia="zh-CN"/>
              </w:rPr>
              <w:t>0</w:t>
            </w:r>
            <w:r>
              <w:rPr>
                <w:rFonts w:hint="eastAsia" w:ascii="宋体" w:hAnsi="宋体" w:eastAsia="宋体" w:cs="宋体"/>
                <w:color w:val="auto"/>
                <w:spacing w:val="-3"/>
                <w:sz w:val="18"/>
                <w:szCs w:val="18"/>
              </w:rPr>
              <w:t>（纯/混合蚕丝含油率≤1.</w:t>
            </w:r>
            <w:r>
              <w:rPr>
                <w:rFonts w:hint="eastAsia" w:hAnsi="宋体" w:cs="宋体"/>
                <w:color w:val="auto"/>
                <w:spacing w:val="-3"/>
                <w:sz w:val="18"/>
                <w:szCs w:val="18"/>
                <w:lang w:val="en-US" w:eastAsia="zh-CN"/>
              </w:rPr>
              <w:t>5</w:t>
            </w:r>
            <w:r>
              <w:rPr>
                <w:rFonts w:hint="eastAsia" w:ascii="宋体" w:hAnsi="宋体" w:eastAsia="宋体" w:cs="宋体"/>
                <w:color w:val="auto"/>
                <w:spacing w:val="-3"/>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c>
          <w:tcPr>
            <w:tcW w:w="3675"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填充物质量偏差率/% ≥</w:t>
            </w:r>
          </w:p>
        </w:tc>
        <w:tc>
          <w:tcPr>
            <w:tcW w:w="4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w:t>
            </w:r>
            <w:r>
              <w:rPr>
                <w:rFonts w:hint="default" w:hAnsi="宋体" w:cs="宋体"/>
                <w:color w:val="auto"/>
                <w:spacing w:val="-3"/>
                <w:sz w:val="18"/>
                <w:szCs w:val="18"/>
                <w:lang w:val="en-US"/>
              </w:rPr>
              <w:t>3</w:t>
            </w:r>
            <w:r>
              <w:rPr>
                <w:rFonts w:hint="eastAsia" w:ascii="宋体" w:hAnsi="宋体" w:eastAsia="宋体" w:cs="宋体"/>
                <w:color w:val="auto"/>
                <w:spacing w:val="-3"/>
                <w:sz w:val="18"/>
                <w:szCs w:val="18"/>
              </w:rPr>
              <w:t>.</w:t>
            </w:r>
            <w:r>
              <w:rPr>
                <w:rFonts w:hint="default" w:hAnsi="宋体" w:cs="宋体"/>
                <w:color w:val="auto"/>
                <w:spacing w:val="-3"/>
                <w:sz w:val="18"/>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5</w:t>
            </w:r>
          </w:p>
        </w:tc>
        <w:tc>
          <w:tcPr>
            <w:tcW w:w="1174"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羽绒羽毛填充物</w:t>
            </w:r>
          </w:p>
        </w:tc>
        <w:tc>
          <w:tcPr>
            <w:tcW w:w="250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透明度/mm</w:t>
            </w:r>
          </w:p>
        </w:tc>
        <w:tc>
          <w:tcPr>
            <w:tcW w:w="482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hAnsi="宋体" w:cs="宋体"/>
                <w:color w:val="auto"/>
                <w:spacing w:val="-3"/>
                <w:sz w:val="18"/>
                <w:szCs w:val="18"/>
                <w:lang w:eastAsia="zh-CN"/>
              </w:rPr>
              <w:t>应符合</w:t>
            </w:r>
            <w:r>
              <w:rPr>
                <w:rFonts w:hint="eastAsia" w:ascii="宋体" w:hAnsi="宋体" w:eastAsia="宋体" w:cs="宋体"/>
                <w:color w:val="auto"/>
                <w:spacing w:val="-3"/>
                <w:sz w:val="18"/>
                <w:szCs w:val="18"/>
              </w:rPr>
              <w:t>QB/T 1196</w:t>
            </w:r>
            <w:r>
              <w:rPr>
                <w:rFonts w:hint="eastAsia" w:ascii="宋体" w:hAnsi="宋体" w:eastAsia="宋体" w:cs="宋体"/>
                <w:color w:val="auto"/>
                <w:spacing w:val="-3"/>
                <w:sz w:val="18"/>
                <w:szCs w:val="18"/>
                <w:lang w:eastAsia="zh-CN"/>
              </w:rPr>
              <w:t>—</w:t>
            </w:r>
            <w:r>
              <w:rPr>
                <w:rFonts w:hint="eastAsia" w:ascii="宋体" w:hAnsi="宋体" w:eastAsia="宋体" w:cs="宋体"/>
                <w:color w:val="auto"/>
                <w:spacing w:val="-3"/>
                <w:sz w:val="18"/>
                <w:szCs w:val="18"/>
              </w:rPr>
              <w:t>201</w:t>
            </w:r>
            <w:r>
              <w:rPr>
                <w:rFonts w:hint="default" w:hAnsi="宋体" w:cs="宋体"/>
                <w:color w:val="auto"/>
                <w:spacing w:val="-3"/>
                <w:sz w:val="18"/>
                <w:szCs w:val="18"/>
                <w:lang w:val="en-US"/>
              </w:rPr>
              <w:t>2</w:t>
            </w:r>
            <w:r>
              <w:rPr>
                <w:rFonts w:hint="eastAsia" w:ascii="宋体" w:hAnsi="宋体" w:eastAsia="宋体" w:cs="宋体"/>
                <w:color w:val="auto"/>
                <w:spacing w:val="-3"/>
                <w:sz w:val="18"/>
                <w:szCs w:val="18"/>
                <w:lang w:eastAsia="zh-CN"/>
              </w:rPr>
              <w:t>中</w:t>
            </w:r>
            <w:r>
              <w:rPr>
                <w:rFonts w:hint="eastAsia" w:ascii="宋体" w:hAnsi="宋体" w:eastAsia="宋体" w:cs="宋体"/>
                <w:color w:val="auto"/>
                <w:spacing w:val="-3"/>
                <w:sz w:val="18"/>
                <w:szCs w:val="18"/>
              </w:rPr>
              <w:t>4.3表1</w:t>
            </w:r>
            <w:r>
              <w:rPr>
                <w:rFonts w:hint="eastAsia" w:hAnsi="宋体" w:cs="宋体"/>
                <w:color w:val="auto"/>
                <w:spacing w:val="-3"/>
                <w:sz w:val="18"/>
                <w:szCs w:val="18"/>
                <w:lang w:eastAsia="zh-CN"/>
              </w:rPr>
              <w:t>的</w:t>
            </w:r>
            <w:r>
              <w:rPr>
                <w:rFonts w:hint="eastAsia" w:ascii="宋体" w:hAnsi="宋体" w:eastAsia="宋体" w:cs="宋体"/>
                <w:color w:val="auto"/>
                <w:spacing w:val="-3"/>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c>
          <w:tcPr>
            <w:tcW w:w="1174"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c>
          <w:tcPr>
            <w:tcW w:w="250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气味/级</w:t>
            </w:r>
          </w:p>
        </w:tc>
        <w:tc>
          <w:tcPr>
            <w:tcW w:w="4829"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c>
          <w:tcPr>
            <w:tcW w:w="1174"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c>
          <w:tcPr>
            <w:tcW w:w="250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其他品质要求</w:t>
            </w:r>
          </w:p>
        </w:tc>
        <w:tc>
          <w:tcPr>
            <w:tcW w:w="4829" w:type="dxa"/>
            <w:vMerge w:val="continue"/>
            <w:vAlign w:val="top"/>
          </w:tcPr>
          <w:p>
            <w:pPr>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line="240" w:lineRule="auto"/>
              <w:textAlignment w:val="auto"/>
              <w:rPr>
                <w:rFonts w:hint="eastAsia" w:ascii="宋体" w:hAnsi="宋体" w:eastAsia="宋体"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default" w:ascii="宋体" w:hAnsi="宋体" w:eastAsia="宋体" w:cs="宋体"/>
                <w:color w:val="auto"/>
                <w:spacing w:val="-3"/>
                <w:sz w:val="18"/>
                <w:szCs w:val="18"/>
                <w:lang w:val="en-US" w:eastAsia="zh-CN"/>
              </w:rPr>
              <w:t>6</w:t>
            </w:r>
          </w:p>
        </w:tc>
        <w:tc>
          <w:tcPr>
            <w:tcW w:w="3675" w:type="dxa"/>
            <w:gridSpan w:val="2"/>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lang w:eastAsia="zh-CN"/>
              </w:rPr>
              <w:t>絮用纤维</w:t>
            </w:r>
          </w:p>
        </w:tc>
        <w:tc>
          <w:tcPr>
            <w:tcW w:w="482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bookmarkStart w:id="14" w:name="OLE_LINK12"/>
            <w:r>
              <w:rPr>
                <w:rFonts w:hint="eastAsia" w:ascii="宋体" w:hAnsi="宋体" w:eastAsia="宋体" w:cs="宋体"/>
                <w:color w:val="auto"/>
                <w:spacing w:val="-3"/>
                <w:sz w:val="18"/>
                <w:szCs w:val="18"/>
                <w:lang w:eastAsia="zh-CN"/>
              </w:rPr>
              <w:t>应符合GB 18383</w:t>
            </w:r>
            <w:bookmarkEnd w:id="14"/>
            <w:r>
              <w:rPr>
                <w:rFonts w:hint="eastAsia" w:ascii="宋体" w:hAnsi="宋体" w:eastAsia="宋体" w:cs="宋体"/>
                <w:color w:val="auto"/>
                <w:spacing w:val="-3"/>
                <w:sz w:val="18"/>
                <w:szCs w:val="18"/>
                <w:lang w:eastAsia="zh-CN"/>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gridSpan w:val="4"/>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firstLine="360" w:firstLineChars="2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vertAlign w:val="superscript"/>
              </w:rPr>
              <w:t>a</w:t>
            </w:r>
            <w:r>
              <w:rPr>
                <w:rFonts w:hint="eastAsia" w:ascii="宋体" w:hAnsi="宋体" w:eastAsia="宋体" w:cs="宋体"/>
                <w:color w:val="auto"/>
                <w:spacing w:val="-1"/>
                <w:sz w:val="18"/>
                <w:szCs w:val="18"/>
              </w:rPr>
              <w:t xml:space="preserve"> 非纤维材料物质不考核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firstLine="360" w:firstLineChars="200"/>
              <w:jc w:val="left"/>
              <w:textAlignment w:val="auto"/>
              <w:rPr>
                <w:rFonts w:hint="eastAsia" w:ascii="宋体" w:hAnsi="宋体" w:eastAsia="宋体" w:cs="宋体"/>
                <w:color w:val="auto"/>
                <w:sz w:val="18"/>
                <w:szCs w:val="18"/>
              </w:rPr>
            </w:pPr>
            <w:r>
              <w:rPr>
                <w:rFonts w:hint="eastAsia" w:ascii="宋体" w:hAnsi="宋体" w:eastAsia="宋体" w:cs="宋体"/>
                <w:color w:val="auto"/>
                <w:sz w:val="18"/>
                <w:szCs w:val="18"/>
                <w:vertAlign w:val="superscript"/>
              </w:rPr>
              <w:t>b</w:t>
            </w:r>
            <w:r>
              <w:rPr>
                <w:rFonts w:hint="eastAsia" w:ascii="宋体" w:hAnsi="宋体" w:eastAsia="宋体" w:cs="宋体"/>
                <w:color w:val="auto"/>
                <w:sz w:val="18"/>
                <w:szCs w:val="18"/>
              </w:rPr>
              <w:t xml:space="preserve"> 只考核PE</w:t>
            </w:r>
            <w:r>
              <w:rPr>
                <w:rFonts w:hint="eastAsia" w:ascii="宋体" w:hAnsi="宋体" w:eastAsia="宋体" w:cs="宋体"/>
                <w:color w:val="auto"/>
                <w:spacing w:val="-1"/>
                <w:sz w:val="18"/>
                <w:szCs w:val="18"/>
              </w:rPr>
              <w:t>软管、聚氨酯材料、乳胶/乳胶颗粒材料。</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firstLine="360" w:firstLineChars="200"/>
              <w:jc w:val="left"/>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vertAlign w:val="superscript"/>
              </w:rPr>
              <w:t>c</w:t>
            </w:r>
            <w:r>
              <w:rPr>
                <w:rFonts w:hint="eastAsia" w:ascii="宋体" w:hAnsi="宋体" w:eastAsia="宋体" w:cs="宋体"/>
                <w:color w:val="auto"/>
                <w:spacing w:val="-1"/>
                <w:sz w:val="18"/>
                <w:szCs w:val="18"/>
              </w:rPr>
              <w:t xml:space="preserve"> 只考核以蚕丝、聚酯纤维、粘纤、羊毛、莱赛尔、聚乙烯醇纤维等絮状纤维填充物，羽绒及其它非絮状填充材质不考</w:t>
            </w:r>
            <w:r>
              <w:rPr>
                <w:rFonts w:hint="eastAsia" w:ascii="宋体" w:hAnsi="宋体" w:eastAsia="宋体" w:cs="宋体"/>
                <w:color w:val="auto"/>
                <w:spacing w:val="-5"/>
                <w:sz w:val="18"/>
                <w:szCs w:val="18"/>
              </w:rPr>
              <w:t>核。</w:t>
            </w:r>
          </w:p>
        </w:tc>
      </w:tr>
    </w:tbl>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bookmarkStart w:id="15" w:name="表 1填充物要求"/>
      <w:bookmarkEnd w:id="15"/>
      <w:bookmarkStart w:id="16" w:name="4.5.2  纺织品织物的要求应满足表2规定。"/>
      <w:bookmarkEnd w:id="16"/>
      <w:bookmarkStart w:id="17" w:name="OLE_LINK14"/>
      <w:r>
        <w:rPr>
          <w:rFonts w:hint="eastAsia" w:ascii="黑体" w:hAnsi="黑体" w:eastAsia="黑体" w:cs="黑体"/>
          <w:color w:val="auto"/>
          <w:w w:val="95"/>
          <w:sz w:val="21"/>
        </w:rPr>
        <w:t>纺织品织物</w:t>
      </w:r>
      <w:r>
        <w:rPr>
          <w:rFonts w:hint="eastAsia" w:ascii="黑体" w:hAnsi="黑体" w:eastAsia="黑体" w:cs="黑体"/>
          <w:color w:val="auto"/>
          <w:w w:val="95"/>
          <w:sz w:val="21"/>
          <w:lang w:eastAsia="zh-CN"/>
        </w:rPr>
        <w:t>质量</w:t>
      </w:r>
    </w:p>
    <w:bookmarkEnd w:id="17"/>
    <w:p>
      <w:pPr>
        <w:pStyle w:val="131"/>
        <w:widowControl w:val="0"/>
        <w:numPr>
          <w:ilvl w:val="2"/>
          <w:numId w:val="0"/>
        </w:numPr>
        <w:ind w:leftChars="0" w:firstLine="398" w:firstLineChars="200"/>
        <w:rPr>
          <w:color w:val="auto"/>
          <w:sz w:val="21"/>
        </w:rPr>
      </w:pPr>
      <w:r>
        <w:rPr>
          <w:color w:val="auto"/>
          <w:w w:val="95"/>
          <w:sz w:val="21"/>
        </w:rPr>
        <w:t>应</w:t>
      </w:r>
      <w:r>
        <w:rPr>
          <w:rFonts w:hint="eastAsia"/>
          <w:color w:val="auto"/>
          <w:w w:val="95"/>
          <w:sz w:val="21"/>
          <w:lang w:eastAsia="zh-CN"/>
        </w:rPr>
        <w:t>符合</w:t>
      </w:r>
      <w:r>
        <w:rPr>
          <w:color w:val="auto"/>
          <w:w w:val="95"/>
          <w:sz w:val="21"/>
        </w:rPr>
        <w:t>表2</w:t>
      </w:r>
      <w:r>
        <w:rPr>
          <w:rFonts w:hint="eastAsia"/>
          <w:color w:val="auto"/>
          <w:spacing w:val="-4"/>
          <w:w w:val="95"/>
          <w:sz w:val="21"/>
          <w:lang w:eastAsia="zh-CN"/>
        </w:rPr>
        <w:t>的要求</w:t>
      </w:r>
      <w:r>
        <w:rPr>
          <w:color w:val="auto"/>
          <w:spacing w:val="-4"/>
          <w:w w:val="95"/>
          <w:sz w:val="21"/>
        </w:rPr>
        <w:t>。</w:t>
      </w:r>
    </w:p>
    <w:p>
      <w:pPr>
        <w:pStyle w:val="208"/>
        <w:tabs>
          <w:tab w:val="left" w:pos="0"/>
        </w:tabs>
        <w:spacing w:before="156" w:after="156"/>
        <w:rPr>
          <w:rFonts w:ascii="黑体" w:eastAsia="黑体"/>
          <w:color w:val="auto"/>
        </w:rPr>
      </w:pPr>
      <w:bookmarkStart w:id="18" w:name="表 2 纺织织物要求"/>
      <w:bookmarkEnd w:id="18"/>
      <w:r>
        <w:rPr>
          <w:rFonts w:ascii="黑体" w:eastAsia="黑体"/>
          <w:color w:val="auto"/>
          <w:spacing w:val="-4"/>
        </w:rPr>
        <w:t>纺织织物</w:t>
      </w:r>
      <w:r>
        <w:rPr>
          <w:rFonts w:hint="eastAsia"/>
          <w:color w:val="auto"/>
          <w:spacing w:val="-4"/>
          <w:lang w:eastAsia="zh-CN"/>
        </w:rPr>
        <w:t>质量</w:t>
      </w:r>
    </w:p>
    <w:tbl>
      <w:tblPr>
        <w:tblStyle w:val="18"/>
        <w:tblW w:w="9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008"/>
        <w:gridCol w:w="1261"/>
        <w:gridCol w:w="5"/>
        <w:gridCol w:w="2609"/>
        <w:gridCol w:w="3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序号</w:t>
            </w:r>
          </w:p>
        </w:tc>
        <w:tc>
          <w:tcPr>
            <w:tcW w:w="4883" w:type="dxa"/>
            <w:gridSpan w:val="4"/>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考核项目</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1</w:t>
            </w:r>
          </w:p>
        </w:tc>
        <w:tc>
          <w:tcPr>
            <w:tcW w:w="4883" w:type="dxa"/>
            <w:gridSpan w:val="4"/>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纤维含量/%</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符合</w:t>
            </w:r>
            <w:bookmarkStart w:id="19" w:name="OLE_LINK8"/>
            <w:r>
              <w:rPr>
                <w:rFonts w:hint="eastAsia" w:ascii="宋体" w:hAnsi="宋体" w:eastAsia="宋体" w:cs="宋体"/>
                <w:color w:val="auto"/>
                <w:spacing w:val="-3"/>
                <w:sz w:val="18"/>
                <w:szCs w:val="18"/>
              </w:rPr>
              <w:t>GB/T 29862</w:t>
            </w:r>
            <w:bookmarkEnd w:id="19"/>
            <w:r>
              <w:rPr>
                <w:rFonts w:hint="eastAsia" w:ascii="宋体" w:hAnsi="宋体" w:eastAsia="宋体" w:cs="宋体"/>
                <w:color w:val="auto"/>
                <w:spacing w:val="-3"/>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hAnsi="宋体" w:cs="宋体"/>
                <w:color w:val="auto"/>
                <w:spacing w:val="-3"/>
                <w:sz w:val="18"/>
                <w:szCs w:val="18"/>
                <w:lang w:val="en-US" w:eastAsia="zh-CN"/>
              </w:rPr>
              <w:t>2</w:t>
            </w:r>
          </w:p>
        </w:tc>
        <w:tc>
          <w:tcPr>
            <w:tcW w:w="2274" w:type="dxa"/>
            <w:gridSpan w:val="3"/>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rPr>
              <w:t>断裂强力</w:t>
            </w:r>
            <w:r>
              <w:rPr>
                <w:rFonts w:hint="eastAsia" w:ascii="宋体" w:hAnsi="宋体" w:eastAsia="宋体" w:cs="宋体"/>
                <w:color w:val="auto"/>
                <w:spacing w:val="-3"/>
                <w:sz w:val="18"/>
                <w:szCs w:val="18"/>
                <w:vertAlign w:val="superscript"/>
              </w:rPr>
              <w:t>a</w:t>
            </w:r>
            <w:r>
              <w:rPr>
                <w:rFonts w:hint="eastAsia" w:ascii="宋体" w:hAnsi="宋体" w:eastAsia="宋体" w:cs="宋体"/>
                <w:color w:val="auto"/>
                <w:spacing w:val="-3"/>
                <w:sz w:val="18"/>
                <w:szCs w:val="18"/>
              </w:rPr>
              <w:t xml:space="preserve"> /N ≥</w:t>
            </w:r>
          </w:p>
        </w:tc>
        <w:tc>
          <w:tcPr>
            <w:tcW w:w="26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hAnsi="宋体" w:cs="宋体"/>
                <w:color w:val="auto"/>
                <w:spacing w:val="-3"/>
                <w:sz w:val="18"/>
                <w:szCs w:val="18"/>
                <w:lang w:val="en-US" w:eastAsia="zh-CN"/>
              </w:rPr>
              <w:t>机织织物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hAnsi="宋体" w:cs="宋体"/>
                <w:color w:val="auto"/>
                <w:spacing w:val="-3"/>
                <w:sz w:val="18"/>
                <w:szCs w:val="18"/>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p>
        </w:tc>
        <w:tc>
          <w:tcPr>
            <w:tcW w:w="2274" w:type="dxa"/>
            <w:gridSpan w:val="3"/>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p>
        </w:tc>
        <w:tc>
          <w:tcPr>
            <w:tcW w:w="26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eastAsia="zh-CN"/>
              </w:rPr>
            </w:pPr>
            <w:r>
              <w:rPr>
                <w:rFonts w:hint="eastAsia" w:hAnsi="宋体" w:cs="宋体"/>
                <w:color w:val="auto"/>
                <w:spacing w:val="-3"/>
                <w:sz w:val="18"/>
                <w:szCs w:val="18"/>
                <w:lang w:eastAsia="zh-CN"/>
              </w:rPr>
              <w:t>经编织物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hAnsi="宋体" w:cs="宋体"/>
                <w:color w:val="auto"/>
                <w:spacing w:val="-3"/>
                <w:sz w:val="18"/>
                <w:szCs w:val="18"/>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3</w:t>
            </w:r>
          </w:p>
        </w:tc>
        <w:tc>
          <w:tcPr>
            <w:tcW w:w="2269" w:type="dxa"/>
            <w:gridSpan w:val="2"/>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顶破强力</w:t>
            </w:r>
            <w:r>
              <w:rPr>
                <w:rFonts w:hint="eastAsia" w:ascii="宋体" w:hAnsi="宋体" w:eastAsia="宋体" w:cs="宋体"/>
                <w:color w:val="auto"/>
                <w:spacing w:val="-3"/>
                <w:sz w:val="18"/>
                <w:szCs w:val="18"/>
                <w:vertAlign w:val="superscript"/>
              </w:rPr>
              <w:t>b</w:t>
            </w:r>
            <w:r>
              <w:rPr>
                <w:rFonts w:hint="eastAsia" w:ascii="宋体" w:hAnsi="宋体" w:eastAsia="宋体" w:cs="宋体"/>
                <w:color w:val="auto"/>
                <w:spacing w:val="-3"/>
                <w:sz w:val="18"/>
                <w:szCs w:val="18"/>
              </w:rPr>
              <w:t xml:space="preserve"> /N ≥</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rPr>
              <w:t>单面织物</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绒织物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1</w:t>
            </w:r>
            <w:r>
              <w:rPr>
                <w:rFonts w:hint="eastAsia" w:hAnsi="宋体" w:cs="宋体"/>
                <w:color w:val="auto"/>
                <w:spacing w:val="-3"/>
                <w:sz w:val="18"/>
                <w:szCs w:val="18"/>
                <w:lang w:val="en-US" w:eastAsia="zh-CN"/>
              </w:rPr>
              <w:t>9</w:t>
            </w:r>
            <w:r>
              <w:rPr>
                <w:rFonts w:hint="eastAsia" w:ascii="宋体" w:hAnsi="宋体" w:eastAsia="宋体" w:cs="宋体"/>
                <w:color w:val="auto"/>
                <w:spacing w:val="-3"/>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269" w:type="dxa"/>
            <w:gridSpan w:val="2"/>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双面织物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2</w:t>
            </w:r>
            <w:r>
              <w:rPr>
                <w:rFonts w:hint="eastAsia" w:hAnsi="宋体" w:cs="宋体"/>
                <w:color w:val="auto"/>
                <w:spacing w:val="-3"/>
                <w:sz w:val="18"/>
                <w:szCs w:val="18"/>
                <w:lang w:val="en-US" w:eastAsia="zh-CN"/>
              </w:rPr>
              <w:t>6</w:t>
            </w:r>
            <w:r>
              <w:rPr>
                <w:rFonts w:hint="eastAsia" w:ascii="宋体" w:hAnsi="宋体" w:eastAsia="宋体" w:cs="宋体"/>
                <w:color w:val="auto"/>
                <w:spacing w:val="-3"/>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c>
          <w:tcPr>
            <w:tcW w:w="4883" w:type="dxa"/>
            <w:gridSpan w:val="4"/>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起球性能</w:t>
            </w:r>
            <w:r>
              <w:rPr>
                <w:rFonts w:hint="eastAsia" w:ascii="宋体" w:hAnsi="宋体" w:eastAsia="宋体" w:cs="宋体"/>
                <w:color w:val="auto"/>
                <w:spacing w:val="-3"/>
                <w:sz w:val="18"/>
                <w:szCs w:val="18"/>
                <w:vertAlign w:val="superscript"/>
              </w:rPr>
              <w:t>c</w:t>
            </w:r>
            <w:r>
              <w:rPr>
                <w:rFonts w:hint="eastAsia" w:ascii="宋体" w:hAnsi="宋体" w:eastAsia="宋体" w:cs="宋体"/>
                <w:color w:val="auto"/>
                <w:spacing w:val="-3"/>
                <w:sz w:val="18"/>
                <w:szCs w:val="18"/>
              </w:rPr>
              <w:t xml:space="preserve"> /级 ≥</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5</w:t>
            </w:r>
          </w:p>
        </w:tc>
        <w:tc>
          <w:tcPr>
            <w:tcW w:w="4883" w:type="dxa"/>
            <w:gridSpan w:val="4"/>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脱毛量</w:t>
            </w:r>
            <w:r>
              <w:rPr>
                <w:rFonts w:hint="eastAsia" w:ascii="宋体" w:hAnsi="宋体" w:eastAsia="宋体" w:cs="宋体"/>
                <w:color w:val="auto"/>
                <w:spacing w:val="-3"/>
                <w:sz w:val="18"/>
                <w:szCs w:val="18"/>
                <w:vertAlign w:val="superscript"/>
              </w:rPr>
              <w:t>d</w:t>
            </w:r>
            <w:r>
              <w:rPr>
                <w:rFonts w:hint="eastAsia" w:ascii="宋体" w:hAnsi="宋体" w:eastAsia="宋体" w:cs="宋体"/>
                <w:color w:val="auto"/>
                <w:spacing w:val="-3"/>
                <w:sz w:val="18"/>
                <w:szCs w:val="18"/>
              </w:rPr>
              <w:t xml:space="preserve"> /(mg/100 cm</w:t>
            </w:r>
            <w:r>
              <w:rPr>
                <w:rFonts w:hint="eastAsia" w:ascii="宋体" w:hAnsi="宋体" w:eastAsia="宋体" w:cs="宋体"/>
                <w:color w:val="auto"/>
                <w:spacing w:val="-3"/>
                <w:sz w:val="18"/>
                <w:szCs w:val="18"/>
                <w:vertAlign w:val="superscript"/>
              </w:rPr>
              <w:t>2</w:t>
            </w:r>
            <w:r>
              <w:rPr>
                <w:rFonts w:hint="eastAsia" w:ascii="宋体" w:hAnsi="宋体" w:eastAsia="宋体" w:cs="宋体"/>
                <w:color w:val="auto"/>
                <w:spacing w:val="-3"/>
                <w:sz w:val="18"/>
                <w:szCs w:val="18"/>
              </w:rPr>
              <w:t>)  ≤</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6</w:t>
            </w:r>
          </w:p>
        </w:tc>
        <w:tc>
          <w:tcPr>
            <w:tcW w:w="2269" w:type="dxa"/>
            <w:gridSpan w:val="2"/>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水洗尺寸变化率</w:t>
            </w:r>
            <w:r>
              <w:rPr>
                <w:rFonts w:hint="eastAsia" w:ascii="宋体" w:hAnsi="宋体" w:eastAsia="宋体" w:cs="宋体"/>
                <w:color w:val="auto"/>
                <w:spacing w:val="-3"/>
                <w:sz w:val="18"/>
                <w:szCs w:val="18"/>
                <w:vertAlign w:val="superscript"/>
              </w:rPr>
              <w:t>e</w:t>
            </w:r>
            <w:r>
              <w:rPr>
                <w:rFonts w:hint="eastAsia" w:ascii="宋体" w:hAnsi="宋体" w:eastAsia="宋体" w:cs="宋体"/>
                <w:color w:val="auto"/>
                <w:spacing w:val="-3"/>
                <w:sz w:val="18"/>
                <w:szCs w:val="18"/>
              </w:rPr>
              <w:t xml:space="preserve"> /%</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机织织物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1</w:t>
            </w: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5</w:t>
            </w: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2</w:t>
            </w: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269" w:type="dxa"/>
            <w:gridSpan w:val="2"/>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针织织物</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+2.0～-</w:t>
            </w:r>
            <w:r>
              <w:rPr>
                <w:rFonts w:hint="eastAsia" w:hAnsi="宋体" w:cs="宋体"/>
                <w:color w:val="auto"/>
                <w:spacing w:val="-3"/>
                <w:sz w:val="18"/>
                <w:szCs w:val="18"/>
                <w:lang w:val="en-US" w:eastAsia="zh-CN"/>
              </w:rPr>
              <w:t>4</w:t>
            </w:r>
            <w:r>
              <w:rPr>
                <w:rFonts w:hint="eastAsia" w:ascii="宋体" w:hAnsi="宋体" w:eastAsia="宋体" w:cs="宋体"/>
                <w:color w:val="auto"/>
                <w:spacing w:val="-3"/>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7</w:t>
            </w:r>
          </w:p>
        </w:tc>
        <w:tc>
          <w:tcPr>
            <w:tcW w:w="4883" w:type="dxa"/>
            <w:gridSpan w:val="4"/>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干洗尺寸变化率</w:t>
            </w:r>
            <w:r>
              <w:rPr>
                <w:rFonts w:hint="eastAsia" w:ascii="宋体" w:hAnsi="宋体" w:eastAsia="宋体" w:cs="宋体"/>
                <w:color w:val="auto"/>
                <w:spacing w:val="-3"/>
                <w:sz w:val="18"/>
                <w:szCs w:val="18"/>
                <w:vertAlign w:val="superscript"/>
              </w:rPr>
              <w:t>f</w:t>
            </w:r>
            <w:r>
              <w:rPr>
                <w:rFonts w:hint="eastAsia" w:ascii="宋体" w:hAnsi="宋体" w:eastAsia="宋体" w:cs="宋体"/>
                <w:color w:val="auto"/>
                <w:spacing w:val="-3"/>
                <w:sz w:val="18"/>
                <w:szCs w:val="18"/>
              </w:rPr>
              <w:t xml:space="preserve"> /％</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2</w:t>
            </w:r>
            <w:r>
              <w:rPr>
                <w:rFonts w:hint="eastAsia" w:ascii="宋体" w:hAnsi="宋体" w:eastAsia="宋体" w:cs="宋体"/>
                <w:color w:val="auto"/>
                <w:spacing w:val="-3"/>
                <w:sz w:val="18"/>
                <w:szCs w:val="18"/>
              </w:rPr>
              <w:t>.</w:t>
            </w:r>
            <w:r>
              <w:rPr>
                <w:rFonts w:hint="eastAsia" w:hAnsi="宋体" w:cs="宋体"/>
                <w:color w:val="auto"/>
                <w:spacing w:val="-3"/>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8</w:t>
            </w:r>
          </w:p>
        </w:tc>
        <w:tc>
          <w:tcPr>
            <w:tcW w:w="1008"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rPr>
              <w:t>色牢度/级</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w:t>
            </w:r>
          </w:p>
        </w:tc>
        <w:tc>
          <w:tcPr>
            <w:tcW w:w="126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耐光</w:t>
            </w:r>
            <w:r>
              <w:rPr>
                <w:rFonts w:hint="eastAsia" w:ascii="宋体" w:hAnsi="宋体" w:eastAsia="宋体" w:cs="宋体"/>
                <w:color w:val="auto"/>
                <w:spacing w:val="-3"/>
                <w:sz w:val="18"/>
                <w:szCs w:val="18"/>
                <w:vertAlign w:val="superscript"/>
              </w:rPr>
              <w:t>g</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变色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8"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6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耐皂洗</w:t>
            </w:r>
            <w:r>
              <w:rPr>
                <w:rFonts w:hint="eastAsia" w:ascii="宋体" w:hAnsi="宋体" w:eastAsia="宋体" w:cs="宋体"/>
                <w:color w:val="auto"/>
                <w:spacing w:val="-3"/>
                <w:sz w:val="18"/>
                <w:szCs w:val="18"/>
                <w:vertAlign w:val="superscript"/>
              </w:rPr>
              <w:t>h</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变色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8"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6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沾色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8"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6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耐干冼</w:t>
            </w:r>
            <w:r>
              <w:rPr>
                <w:rFonts w:hint="eastAsia" w:ascii="宋体" w:hAnsi="宋体" w:eastAsia="宋体" w:cs="宋体"/>
                <w:color w:val="auto"/>
                <w:spacing w:val="-3"/>
                <w:sz w:val="18"/>
                <w:szCs w:val="18"/>
                <w:vertAlign w:val="superscript"/>
              </w:rPr>
              <w:t>i</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变色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8"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6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沾色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8"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6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耐汗渍</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变色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008"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61"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沾色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008"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6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耐摩擦</w:t>
            </w: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变色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008"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6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614"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沾色</w:t>
            </w:r>
          </w:p>
        </w:tc>
        <w:tc>
          <w:tcPr>
            <w:tcW w:w="388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gridSpan w:val="6"/>
            <w:vAlign w:val="top"/>
          </w:tcPr>
          <w:p>
            <w:pPr>
              <w:pStyle w:val="263"/>
              <w:tabs>
                <w:tab w:val="left" w:pos="850"/>
              </w:tabs>
              <w:rPr>
                <w:rFonts w:hint="eastAsia" w:ascii="宋体" w:hAnsi="宋体" w:eastAsia="宋体" w:cs="宋体"/>
                <w:color w:val="auto"/>
                <w:spacing w:val="-3"/>
                <w:kern w:val="2"/>
                <w:sz w:val="18"/>
                <w:szCs w:val="18"/>
                <w:lang w:val="en-US" w:eastAsia="zh-CN" w:bidi="ar-SA"/>
              </w:rPr>
            </w:pPr>
            <w:r>
              <w:rPr>
                <w:rFonts w:hint="eastAsia" w:ascii="宋体" w:hAnsi="宋体" w:eastAsia="宋体" w:cs="宋体"/>
                <w:color w:val="auto"/>
                <w:spacing w:val="-3"/>
                <w:sz w:val="18"/>
                <w:szCs w:val="18"/>
              </w:rPr>
              <w:t>色别</w:t>
            </w:r>
            <w:r>
              <w:rPr>
                <w:rFonts w:hint="eastAsia" w:hAnsi="宋体" w:cs="宋体"/>
                <w:color w:val="auto"/>
                <w:spacing w:val="-3"/>
                <w:sz w:val="18"/>
                <w:szCs w:val="18"/>
                <w:lang w:eastAsia="zh-CN"/>
              </w:rPr>
              <w:t>按</w:t>
            </w:r>
            <w:r>
              <w:rPr>
                <w:rFonts w:hint="eastAsia" w:ascii="宋体" w:hAnsi="宋体" w:eastAsia="宋体" w:cs="宋体"/>
                <w:color w:val="auto"/>
                <w:spacing w:val="-3"/>
                <w:sz w:val="18"/>
                <w:szCs w:val="18"/>
              </w:rPr>
              <w:t>GB/T 4841.3</w:t>
            </w:r>
            <w:r>
              <w:rPr>
                <w:rFonts w:hint="eastAsia" w:hAnsi="宋体" w:cs="宋体"/>
                <w:color w:val="auto"/>
                <w:spacing w:val="-3"/>
                <w:sz w:val="18"/>
                <w:szCs w:val="18"/>
                <w:lang w:eastAsia="zh-CN"/>
              </w:rPr>
              <w:t>规定，</w:t>
            </w:r>
            <w:r>
              <w:rPr>
                <w:rFonts w:hint="eastAsia" w:ascii="宋体" w:hAnsi="宋体" w:eastAsia="宋体" w:cs="宋体"/>
                <w:color w:val="auto"/>
                <w:spacing w:val="-3"/>
                <w:sz w:val="18"/>
                <w:szCs w:val="18"/>
                <w:lang w:eastAsia="zh-CN"/>
              </w:rPr>
              <w:t>＞</w:t>
            </w:r>
            <w:r>
              <w:rPr>
                <w:rFonts w:hint="eastAsia" w:ascii="宋体" w:hAnsi="宋体" w:eastAsia="宋体" w:cs="宋体"/>
                <w:color w:val="auto"/>
                <w:spacing w:val="-3"/>
                <w:sz w:val="18"/>
                <w:szCs w:val="18"/>
              </w:rPr>
              <w:t>1/12染料染色标准深度色卡为深色，≤1/12染料染色标准深度色卡为浅色。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gridSpan w:val="6"/>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a</w:t>
            </w:r>
            <w:r>
              <w:rPr>
                <w:rFonts w:hint="eastAsia" w:ascii="宋体" w:hAnsi="宋体" w:eastAsia="宋体" w:cs="宋体"/>
                <w:color w:val="auto"/>
                <w:spacing w:val="-3"/>
                <w:sz w:val="18"/>
                <w:szCs w:val="18"/>
              </w:rPr>
              <w:t xml:space="preserve"> 考核机织面料，芯类产品不考核。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b</w:t>
            </w:r>
            <w:r>
              <w:rPr>
                <w:rFonts w:hint="eastAsia" w:ascii="宋体" w:hAnsi="宋体" w:eastAsia="宋体" w:cs="宋体"/>
                <w:color w:val="auto"/>
                <w:spacing w:val="-3"/>
                <w:sz w:val="18"/>
                <w:szCs w:val="18"/>
              </w:rPr>
              <w:t xml:space="preserve"> 考核针织面料，芯类产品不考核。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 xml:space="preserve">c </w:t>
            </w:r>
            <w:r>
              <w:rPr>
                <w:rFonts w:hint="eastAsia" w:ascii="宋体" w:hAnsi="宋体" w:eastAsia="宋体" w:cs="宋体"/>
                <w:color w:val="auto"/>
                <w:spacing w:val="-3"/>
                <w:sz w:val="18"/>
                <w:szCs w:val="18"/>
              </w:rPr>
              <w:t>绒毛面料、拉毛面料不考核。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d</w:t>
            </w:r>
            <w:r>
              <w:rPr>
                <w:rFonts w:hint="eastAsia" w:ascii="宋体" w:hAnsi="宋体" w:eastAsia="宋体" w:cs="宋体"/>
                <w:color w:val="auto"/>
                <w:spacing w:val="-3"/>
                <w:sz w:val="18"/>
                <w:szCs w:val="18"/>
              </w:rPr>
              <w:t xml:space="preserve"> 仅考核磨毛、起绒、植绒面料。</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e</w:t>
            </w:r>
            <w:r>
              <w:rPr>
                <w:rFonts w:hint="eastAsia" w:ascii="宋体" w:hAnsi="宋体" w:eastAsia="宋体" w:cs="宋体"/>
                <w:color w:val="auto"/>
                <w:spacing w:val="-3"/>
                <w:sz w:val="18"/>
                <w:szCs w:val="18"/>
              </w:rPr>
              <w:t xml:space="preserve"> 不可拆洗的芯类产品不考核。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f</w:t>
            </w:r>
            <w:r>
              <w:rPr>
                <w:rFonts w:hint="eastAsia" w:ascii="宋体" w:hAnsi="宋体" w:eastAsia="宋体" w:cs="宋体"/>
                <w:color w:val="auto"/>
                <w:spacing w:val="-3"/>
                <w:sz w:val="18"/>
                <w:szCs w:val="18"/>
              </w:rPr>
              <w:t xml:space="preserve"> 考核可干洗可拆洗的外套。</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g</w:t>
            </w:r>
            <w:r>
              <w:rPr>
                <w:rFonts w:hint="eastAsia" w:ascii="宋体" w:hAnsi="宋体" w:eastAsia="宋体" w:cs="宋体"/>
                <w:color w:val="auto"/>
                <w:spacing w:val="-3"/>
                <w:sz w:val="18"/>
                <w:szCs w:val="18"/>
              </w:rPr>
              <w:t xml:space="preserve"> 芯类产品不考核。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sz w:val="18"/>
                <w:szCs w:val="18"/>
              </w:rPr>
            </w:pPr>
            <w:r>
              <w:rPr>
                <w:rFonts w:hint="eastAsia" w:ascii="宋体" w:hAnsi="宋体" w:eastAsia="宋体" w:cs="宋体"/>
                <w:color w:val="auto"/>
                <w:spacing w:val="-3"/>
                <w:sz w:val="18"/>
                <w:szCs w:val="18"/>
                <w:vertAlign w:val="superscript"/>
              </w:rPr>
              <w:t>h</w:t>
            </w:r>
            <w:r>
              <w:rPr>
                <w:rFonts w:hint="eastAsia" w:ascii="宋体" w:hAnsi="宋体" w:eastAsia="宋体" w:cs="宋体"/>
                <w:color w:val="auto"/>
                <w:spacing w:val="-3"/>
                <w:sz w:val="18"/>
                <w:szCs w:val="18"/>
              </w:rPr>
              <w:t xml:space="preserve"> 不可水洗产品不考核。</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174" w:firstLineChars="100"/>
              <w:jc w:val="left"/>
              <w:textAlignment w:val="auto"/>
              <w:rPr>
                <w:rFonts w:hint="eastAsia" w:ascii="宋体" w:hAnsi="宋体" w:eastAsia="宋体" w:cs="宋体"/>
                <w:color w:val="auto"/>
                <w:spacing w:val="-3"/>
                <w:kern w:val="2"/>
                <w:sz w:val="18"/>
                <w:szCs w:val="18"/>
                <w:lang w:val="en-US" w:eastAsia="zh-CN" w:bidi="ar-SA"/>
              </w:rPr>
            </w:pPr>
            <w:r>
              <w:rPr>
                <w:rFonts w:hint="eastAsia" w:ascii="宋体" w:hAnsi="宋体" w:eastAsia="宋体" w:cs="宋体"/>
                <w:color w:val="auto"/>
                <w:spacing w:val="-3"/>
                <w:sz w:val="18"/>
                <w:szCs w:val="18"/>
                <w:vertAlign w:val="superscript"/>
              </w:rPr>
              <w:t>i</w:t>
            </w:r>
            <w:r>
              <w:rPr>
                <w:rFonts w:hint="eastAsia" w:ascii="宋体" w:hAnsi="宋体" w:eastAsia="宋体" w:cs="宋体"/>
                <w:color w:val="auto"/>
                <w:spacing w:val="-3"/>
                <w:sz w:val="18"/>
                <w:szCs w:val="18"/>
              </w:rPr>
              <w:t xml:space="preserve"> 考核可干洗可拆洗的外套。</w:t>
            </w:r>
          </w:p>
        </w:tc>
      </w:tr>
    </w:tbl>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bookmarkStart w:id="20" w:name="4.5.3  成品的要求按表3执行。"/>
      <w:bookmarkEnd w:id="20"/>
      <w:bookmarkStart w:id="21" w:name="OLE_LINK15"/>
      <w:r>
        <w:rPr>
          <w:rFonts w:hint="eastAsia" w:ascii="黑体" w:hAnsi="黑体" w:eastAsia="黑体" w:cs="黑体"/>
          <w:color w:val="auto"/>
          <w:w w:val="95"/>
          <w:sz w:val="21"/>
        </w:rPr>
        <w:t>成品</w:t>
      </w:r>
      <w:r>
        <w:rPr>
          <w:rFonts w:hint="eastAsia" w:ascii="黑体" w:hAnsi="黑体" w:eastAsia="黑体" w:cs="黑体"/>
          <w:color w:val="auto"/>
          <w:w w:val="95"/>
          <w:sz w:val="21"/>
          <w:lang w:eastAsia="zh-CN"/>
        </w:rPr>
        <w:t>质量</w:t>
      </w:r>
    </w:p>
    <w:bookmarkEnd w:id="21"/>
    <w:p>
      <w:pPr>
        <w:pStyle w:val="131"/>
        <w:widowControl w:val="0"/>
        <w:numPr>
          <w:ilvl w:val="2"/>
          <w:numId w:val="0"/>
        </w:numPr>
        <w:ind w:leftChars="0" w:firstLine="398" w:firstLineChars="200"/>
        <w:rPr>
          <w:color w:val="auto"/>
          <w:w w:val="95"/>
          <w:sz w:val="21"/>
        </w:rPr>
      </w:pPr>
      <w:r>
        <w:rPr>
          <w:rFonts w:hint="eastAsia"/>
          <w:color w:val="auto"/>
          <w:w w:val="95"/>
          <w:sz w:val="21"/>
          <w:lang w:eastAsia="zh-CN"/>
        </w:rPr>
        <w:t>应符合</w:t>
      </w:r>
      <w:r>
        <w:rPr>
          <w:color w:val="auto"/>
          <w:w w:val="95"/>
          <w:sz w:val="21"/>
        </w:rPr>
        <w:t>表</w:t>
      </w:r>
      <w:r>
        <w:rPr>
          <w:rFonts w:hint="eastAsia"/>
          <w:color w:val="auto"/>
          <w:w w:val="95"/>
          <w:sz w:val="21"/>
          <w:lang w:val="en-US" w:eastAsia="zh-CN"/>
        </w:rPr>
        <w:t>3的</w:t>
      </w:r>
      <w:r>
        <w:rPr>
          <w:rFonts w:hint="eastAsia"/>
          <w:color w:val="auto"/>
          <w:w w:val="95"/>
          <w:sz w:val="21"/>
          <w:lang w:eastAsia="zh-CN"/>
        </w:rPr>
        <w:t>要求</w:t>
      </w:r>
      <w:r>
        <w:rPr>
          <w:color w:val="auto"/>
          <w:w w:val="95"/>
          <w:sz w:val="21"/>
        </w:rPr>
        <w:t>。</w:t>
      </w:r>
    </w:p>
    <w:p>
      <w:pPr>
        <w:pStyle w:val="208"/>
        <w:tabs>
          <w:tab w:val="left" w:pos="0"/>
        </w:tabs>
        <w:spacing w:before="156" w:after="156"/>
        <w:rPr>
          <w:rFonts w:ascii="黑体" w:eastAsia="黑体"/>
          <w:color w:val="auto"/>
        </w:rPr>
      </w:pPr>
      <w:bookmarkStart w:id="22" w:name="表 3 成品要求"/>
      <w:bookmarkEnd w:id="22"/>
      <w:r>
        <w:rPr>
          <w:rFonts w:ascii="黑体" w:eastAsia="黑体"/>
          <w:color w:val="auto"/>
          <w:spacing w:val="-4"/>
        </w:rPr>
        <w:t>成品</w:t>
      </w:r>
      <w:r>
        <w:rPr>
          <w:rFonts w:hint="eastAsia"/>
          <w:color w:val="auto"/>
          <w:spacing w:val="-4"/>
          <w:lang w:eastAsia="zh-CN"/>
        </w:rPr>
        <w:t>质量</w:t>
      </w:r>
    </w:p>
    <w:tbl>
      <w:tblPr>
        <w:tblStyle w:val="18"/>
        <w:tblW w:w="94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126"/>
        <w:gridCol w:w="1276"/>
        <w:gridCol w:w="5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序号</w:t>
            </w:r>
          </w:p>
        </w:tc>
        <w:tc>
          <w:tcPr>
            <w:tcW w:w="3402"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考核项目</w:t>
            </w:r>
          </w:p>
        </w:tc>
        <w:tc>
          <w:tcPr>
            <w:tcW w:w="537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c>
          <w:tcPr>
            <w:tcW w:w="2126"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压缩回弹性能</w:t>
            </w:r>
            <w:r>
              <w:rPr>
                <w:rFonts w:hint="eastAsia" w:ascii="宋体" w:hAnsi="宋体" w:eastAsia="宋体" w:cs="宋体"/>
                <w:color w:val="auto"/>
                <w:spacing w:val="-3"/>
                <w:sz w:val="18"/>
                <w:szCs w:val="18"/>
                <w:vertAlign w:val="superscript"/>
                <w:lang w:val="en-US" w:eastAsia="zh-CN"/>
              </w:rPr>
              <w:t>a</w:t>
            </w:r>
            <w:r>
              <w:rPr>
                <w:rFonts w:hint="eastAsia" w:ascii="宋体" w:hAnsi="宋体" w:eastAsia="宋体" w:cs="宋体"/>
                <w:color w:val="auto"/>
                <w:spacing w:val="-3"/>
                <w:sz w:val="18"/>
                <w:szCs w:val="18"/>
                <w:lang w:val="en-US" w:eastAsia="zh-CN"/>
              </w:rPr>
              <w:t xml:space="preserve"> /%    ≥</w:t>
            </w:r>
          </w:p>
        </w:tc>
        <w:tc>
          <w:tcPr>
            <w:tcW w:w="127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压缩率</w:t>
            </w:r>
          </w:p>
        </w:tc>
        <w:tc>
          <w:tcPr>
            <w:tcW w:w="537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2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7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回复率</w:t>
            </w:r>
          </w:p>
        </w:tc>
        <w:tc>
          <w:tcPr>
            <w:tcW w:w="537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hAnsi="宋体" w:cs="宋体"/>
                <w:color w:val="auto"/>
                <w:spacing w:val="-3"/>
                <w:sz w:val="18"/>
                <w:szCs w:val="18"/>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w:t>
            </w:r>
          </w:p>
        </w:tc>
        <w:tc>
          <w:tcPr>
            <w:tcW w:w="3402"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缝针、断针等对人体可能造成伤害的金属残留物</w:t>
            </w:r>
          </w:p>
        </w:tc>
        <w:tc>
          <w:tcPr>
            <w:tcW w:w="537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hAnsi="宋体" w:cs="宋体"/>
                <w:color w:val="auto"/>
                <w:spacing w:val="-3"/>
                <w:sz w:val="18"/>
                <w:szCs w:val="18"/>
                <w:lang w:val="en-US" w:eastAsia="zh-CN"/>
              </w:rPr>
              <w:t>3</w:t>
            </w:r>
          </w:p>
        </w:tc>
        <w:tc>
          <w:tcPr>
            <w:tcW w:w="3402"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bookmarkStart w:id="23" w:name="OLE_LINK16"/>
            <w:r>
              <w:rPr>
                <w:rFonts w:hint="eastAsia" w:ascii="宋体" w:hAnsi="宋体" w:eastAsia="宋体" w:cs="宋体"/>
                <w:color w:val="auto"/>
                <w:spacing w:val="-3"/>
                <w:sz w:val="18"/>
                <w:szCs w:val="18"/>
                <w:lang w:val="en-US" w:eastAsia="zh-CN"/>
              </w:rPr>
              <w:t>缝线、钮扣、拉链等附件</w:t>
            </w:r>
            <w:bookmarkEnd w:id="23"/>
          </w:p>
        </w:tc>
        <w:tc>
          <w:tcPr>
            <w:tcW w:w="537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应符合相关产品标准要求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4"/>
            <w:vAlign w:val="top"/>
          </w:tcPr>
          <w:p>
            <w:pPr>
              <w:pStyle w:val="259"/>
              <w:numPr>
                <w:ilvl w:val="0"/>
                <w:numId w:val="0"/>
              </w:numPr>
              <w:tabs>
                <w:tab w:val="left" w:pos="850"/>
              </w:tabs>
              <w:spacing w:before="55" w:line="242" w:lineRule="auto"/>
              <w:ind w:leftChars="100" w:right="76" w:rightChars="0"/>
              <w:jc w:val="left"/>
              <w:rPr>
                <w:rFonts w:ascii="宋体" w:hAnsi="Times New Roman" w:eastAsia="宋体" w:cstheme="minorBidi"/>
                <w:color w:val="auto"/>
                <w:kern w:val="2"/>
                <w:sz w:val="18"/>
                <w:szCs w:val="22"/>
                <w:lang w:val="en-US" w:eastAsia="zh-CN" w:bidi="ar-SA"/>
              </w:rPr>
            </w:pPr>
            <w:r>
              <w:rPr>
                <w:rFonts w:hint="eastAsia" w:ascii="宋体" w:hAnsi="宋体" w:eastAsia="宋体" w:cs="宋体"/>
                <w:color w:val="auto"/>
                <w:spacing w:val="-3"/>
                <w:sz w:val="18"/>
                <w:szCs w:val="18"/>
                <w:vertAlign w:val="superscript"/>
              </w:rPr>
              <w:t>a</w:t>
            </w:r>
            <w:r>
              <w:rPr>
                <w:color w:val="auto"/>
                <w:spacing w:val="-7"/>
                <w:sz w:val="18"/>
              </w:rPr>
              <w:t xml:space="preserve"> 只考核以化纤/羊毛/聚乙烯醇纤维/粘纤/莱赛尔为填充的纯填充被芯或者混合被芯</w:t>
            </w:r>
            <w:r>
              <w:rPr>
                <w:rFonts w:hint="eastAsia"/>
                <w:color w:val="auto"/>
                <w:spacing w:val="-7"/>
                <w:sz w:val="18"/>
                <w:lang w:eastAsia="zh-CN"/>
              </w:rPr>
              <w:t>，</w:t>
            </w:r>
            <w:r>
              <w:rPr>
                <w:color w:val="auto"/>
                <w:spacing w:val="-7"/>
                <w:sz w:val="18"/>
              </w:rPr>
              <w:t>单位面积质量在</w:t>
            </w:r>
            <w:r>
              <w:rPr>
                <w:color w:val="auto"/>
                <w:sz w:val="18"/>
              </w:rPr>
              <w:t>150</w:t>
            </w:r>
            <w:r>
              <w:rPr>
                <w:rFonts w:hint="eastAsia"/>
                <w:color w:val="auto"/>
                <w:sz w:val="18"/>
                <w:lang w:val="en-US" w:eastAsia="zh-CN"/>
              </w:rPr>
              <w:t xml:space="preserve"> </w:t>
            </w:r>
            <w:r>
              <w:rPr>
                <w:color w:val="auto"/>
                <w:sz w:val="18"/>
              </w:rPr>
              <w:t>g/㎡及以下不</w:t>
            </w:r>
            <w:r>
              <w:rPr>
                <w:color w:val="auto"/>
                <w:spacing w:val="-4"/>
                <w:sz w:val="18"/>
              </w:rPr>
              <w:t>考核。</w:t>
            </w:r>
          </w:p>
        </w:tc>
      </w:tr>
    </w:tbl>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bookmarkStart w:id="24" w:name="OLE_LINK17"/>
      <w:r>
        <w:rPr>
          <w:rFonts w:hint="eastAsia" w:ascii="黑体" w:hAnsi="黑体" w:eastAsia="黑体" w:cs="黑体"/>
          <w:color w:val="auto"/>
          <w:w w:val="95"/>
          <w:sz w:val="21"/>
          <w:lang w:eastAsia="zh-CN"/>
        </w:rPr>
        <w:t>功能质量</w:t>
      </w:r>
    </w:p>
    <w:bookmarkEnd w:id="24"/>
    <w:p>
      <w:pPr>
        <w:pStyle w:val="131"/>
        <w:widowControl w:val="0"/>
        <w:numPr>
          <w:ilvl w:val="2"/>
          <w:numId w:val="0"/>
        </w:numPr>
        <w:ind w:leftChars="0" w:firstLine="420" w:firstLineChars="200"/>
        <w:rPr>
          <w:rFonts w:hint="eastAsia" w:ascii="宋体" w:hAnsi="宋体" w:eastAsia="宋体" w:cs="宋体"/>
          <w:color w:val="auto"/>
          <w:spacing w:val="0"/>
          <w:w w:val="100"/>
          <w:sz w:val="21"/>
        </w:rPr>
      </w:pPr>
      <w:r>
        <w:rPr>
          <w:rFonts w:hint="eastAsia" w:ascii="宋体" w:hAnsi="宋体" w:eastAsia="宋体" w:cs="宋体"/>
          <w:color w:val="auto"/>
          <w:spacing w:val="0"/>
          <w:w w:val="100"/>
          <w:sz w:val="21"/>
        </w:rPr>
        <w:t>功能性产品根据宣称的功能按表4考核相应的项目，标准无明示洗涤干燥程序的则按GB/T</w:t>
      </w:r>
      <w:r>
        <w:rPr>
          <w:rFonts w:hint="eastAsia" w:ascii="宋体" w:hAnsi="宋体" w:eastAsia="宋体" w:cs="宋体"/>
          <w:color w:val="auto"/>
          <w:spacing w:val="0"/>
          <w:w w:val="100"/>
          <w:sz w:val="21"/>
          <w:lang w:val="en-US" w:eastAsia="zh-CN"/>
        </w:rPr>
        <w:t xml:space="preserve"> </w:t>
      </w:r>
      <w:r>
        <w:rPr>
          <w:rFonts w:hint="eastAsia" w:ascii="宋体" w:hAnsi="宋体" w:eastAsia="宋体" w:cs="宋体"/>
          <w:color w:val="auto"/>
          <w:spacing w:val="0"/>
          <w:w w:val="100"/>
          <w:sz w:val="21"/>
        </w:rPr>
        <w:t>20944.3</w:t>
      </w:r>
      <w:r>
        <w:rPr>
          <w:rFonts w:hint="eastAsia" w:cs="宋体"/>
          <w:color w:val="auto"/>
          <w:spacing w:val="0"/>
          <w:w w:val="100"/>
          <w:sz w:val="21"/>
          <w:lang w:eastAsia="zh-CN"/>
        </w:rPr>
        <w:t>—</w:t>
      </w:r>
      <w:r>
        <w:rPr>
          <w:rFonts w:hint="eastAsia" w:ascii="宋体" w:hAnsi="宋体" w:eastAsia="宋体" w:cs="宋体"/>
          <w:color w:val="auto"/>
          <w:spacing w:val="0"/>
          <w:w w:val="100"/>
          <w:sz w:val="21"/>
        </w:rPr>
        <w:t>2008</w:t>
      </w:r>
      <w:r>
        <w:rPr>
          <w:rFonts w:hint="eastAsia" w:ascii="宋体" w:hAnsi="宋体" w:eastAsia="宋体" w:cs="宋体"/>
          <w:color w:val="auto"/>
          <w:spacing w:val="0"/>
          <w:w w:val="100"/>
          <w:sz w:val="21"/>
          <w:lang w:eastAsia="zh-CN"/>
        </w:rPr>
        <w:t>中</w:t>
      </w:r>
      <w:r>
        <w:rPr>
          <w:rFonts w:hint="eastAsia" w:ascii="宋体" w:hAnsi="宋体" w:eastAsia="宋体" w:cs="宋体"/>
          <w:color w:val="auto"/>
          <w:spacing w:val="0"/>
          <w:w w:val="100"/>
          <w:sz w:val="21"/>
        </w:rPr>
        <w:t>10.1.2的洗涤方法洗涤5次，不可水洗产品只测试原样。</w:t>
      </w:r>
    </w:p>
    <w:p>
      <w:pPr>
        <w:pStyle w:val="208"/>
        <w:tabs>
          <w:tab w:val="left" w:pos="0"/>
        </w:tabs>
        <w:spacing w:before="156" w:after="156"/>
        <w:rPr>
          <w:rFonts w:ascii="黑体" w:eastAsia="黑体"/>
          <w:color w:val="auto"/>
        </w:rPr>
      </w:pPr>
      <w:bookmarkStart w:id="25" w:name="表 4 功能性项目要求"/>
      <w:bookmarkEnd w:id="25"/>
      <w:r>
        <w:rPr>
          <w:rFonts w:ascii="黑体" w:eastAsia="黑体"/>
          <w:color w:val="auto"/>
          <w:spacing w:val="-4"/>
        </w:rPr>
        <w:t>功能</w:t>
      </w:r>
      <w:r>
        <w:rPr>
          <w:rFonts w:hint="eastAsia"/>
          <w:color w:val="auto"/>
          <w:spacing w:val="-4"/>
          <w:lang w:eastAsia="zh-CN"/>
        </w:rPr>
        <w:t>质量</w:t>
      </w:r>
    </w:p>
    <w:tbl>
      <w:tblPr>
        <w:tblStyle w:val="18"/>
        <w:tblW w:w="94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76"/>
        <w:gridCol w:w="1040"/>
        <w:gridCol w:w="2303"/>
        <w:gridCol w:w="4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序号</w:t>
            </w: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考核项目</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负离子发生量/(个/cm</w:t>
            </w:r>
            <w:r>
              <w:rPr>
                <w:rFonts w:hint="eastAsia" w:ascii="宋体" w:hAnsi="宋体" w:eastAsia="宋体" w:cs="宋体"/>
                <w:color w:val="auto"/>
                <w:spacing w:val="-3"/>
                <w:sz w:val="18"/>
                <w:szCs w:val="18"/>
                <w:vertAlign w:val="superscript"/>
                <w:lang w:val="en-US" w:eastAsia="zh-CN"/>
              </w:rPr>
              <w:t>3</w:t>
            </w:r>
            <w:r>
              <w:rPr>
                <w:rFonts w:hint="eastAsia" w:ascii="宋体" w:hAnsi="宋体" w:eastAsia="宋体" w:cs="宋体"/>
                <w:color w:val="auto"/>
                <w:spacing w:val="-3"/>
                <w:sz w:val="18"/>
                <w:szCs w:val="18"/>
                <w:lang w:val="en-US" w:eastAsia="zh-CN"/>
              </w:rPr>
              <w:t>)</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w:t>
            </w: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金黄色葡萄球菌抗菌率</w:t>
            </w:r>
            <w:bookmarkStart w:id="26" w:name="OLE_LINK2"/>
            <w:r>
              <w:rPr>
                <w:rFonts w:hint="eastAsia" w:ascii="宋体" w:hAnsi="宋体" w:eastAsia="宋体" w:cs="宋体"/>
                <w:color w:val="auto"/>
                <w:spacing w:val="-3"/>
                <w:sz w:val="18"/>
                <w:szCs w:val="18"/>
                <w:vertAlign w:val="superscript"/>
                <w:lang w:val="en-US" w:eastAsia="zh-CN"/>
              </w:rPr>
              <w:t>a</w:t>
            </w:r>
            <w:bookmarkEnd w:id="26"/>
            <w:r>
              <w:rPr>
                <w:rFonts w:hint="eastAsia" w:ascii="宋体" w:hAnsi="宋体" w:eastAsia="宋体" w:cs="宋体"/>
                <w:color w:val="auto"/>
                <w:spacing w:val="-3"/>
                <w:sz w:val="18"/>
                <w:szCs w:val="18"/>
                <w:lang w:val="en-US" w:eastAsia="zh-CN"/>
              </w:rPr>
              <w:t xml:space="preserve"> /%</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大肠杆菌抗菌率</w:t>
            </w:r>
            <w:r>
              <w:rPr>
                <w:rFonts w:hint="eastAsia" w:ascii="宋体" w:hAnsi="宋体" w:eastAsia="宋体" w:cs="宋体"/>
                <w:color w:val="auto"/>
                <w:spacing w:val="-3"/>
                <w:sz w:val="18"/>
                <w:szCs w:val="18"/>
                <w:vertAlign w:val="superscript"/>
                <w:lang w:val="en-US" w:eastAsia="zh-CN"/>
              </w:rPr>
              <w:t>a</w:t>
            </w:r>
            <w:r>
              <w:rPr>
                <w:rFonts w:hint="eastAsia" w:ascii="宋体" w:hAnsi="宋体" w:eastAsia="宋体" w:cs="宋体"/>
                <w:color w:val="auto"/>
                <w:spacing w:val="-3"/>
                <w:sz w:val="18"/>
                <w:szCs w:val="18"/>
                <w:lang w:val="en-US" w:eastAsia="zh-CN"/>
              </w:rPr>
              <w:t xml:space="preserve"> /%</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白色念珠菌抗菌率</w:t>
            </w:r>
            <w:r>
              <w:rPr>
                <w:rFonts w:hint="eastAsia" w:ascii="宋体" w:hAnsi="宋体" w:eastAsia="宋体" w:cs="宋体"/>
                <w:color w:val="auto"/>
                <w:spacing w:val="-3"/>
                <w:sz w:val="18"/>
                <w:szCs w:val="18"/>
                <w:vertAlign w:val="superscript"/>
                <w:lang w:val="en-US" w:eastAsia="zh-CN"/>
              </w:rPr>
              <w:t>a</w:t>
            </w:r>
            <w:r>
              <w:rPr>
                <w:rFonts w:hint="eastAsia" w:ascii="宋体" w:hAnsi="宋体" w:eastAsia="宋体" w:cs="宋体"/>
                <w:color w:val="auto"/>
                <w:spacing w:val="-3"/>
                <w:sz w:val="18"/>
                <w:szCs w:val="18"/>
                <w:lang w:val="en-US" w:eastAsia="zh-CN"/>
              </w:rPr>
              <w:t xml:space="preserve"> /%</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肺炎克雷伯菌抗菌率</w:t>
            </w:r>
            <w:r>
              <w:rPr>
                <w:rFonts w:hint="eastAsia" w:ascii="宋体" w:hAnsi="宋体" w:eastAsia="宋体" w:cs="宋体"/>
                <w:color w:val="auto"/>
                <w:spacing w:val="-3"/>
                <w:sz w:val="18"/>
                <w:szCs w:val="18"/>
                <w:vertAlign w:val="superscript"/>
                <w:lang w:val="en-US" w:eastAsia="zh-CN"/>
              </w:rPr>
              <w:t>a</w:t>
            </w:r>
            <w:r>
              <w:rPr>
                <w:rFonts w:hint="eastAsia" w:ascii="宋体" w:hAnsi="宋体" w:eastAsia="宋体" w:cs="宋体"/>
                <w:color w:val="auto"/>
                <w:spacing w:val="-3"/>
                <w:sz w:val="18"/>
                <w:szCs w:val="18"/>
                <w:lang w:val="en-US" w:eastAsia="zh-CN"/>
              </w:rPr>
              <w:t xml:space="preserve"> /%</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w:t>
            </w: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防螨性能</w:t>
            </w:r>
            <w:r>
              <w:rPr>
                <w:rFonts w:hint="eastAsia" w:hAnsi="宋体" w:cs="宋体"/>
                <w:color w:val="auto"/>
                <w:spacing w:val="-3"/>
                <w:sz w:val="18"/>
                <w:szCs w:val="18"/>
                <w:vertAlign w:val="superscript"/>
                <w:lang w:val="en-US" w:eastAsia="zh-CN"/>
              </w:rPr>
              <w:t>b</w:t>
            </w:r>
            <w:r>
              <w:rPr>
                <w:rFonts w:hint="eastAsia" w:ascii="宋体" w:hAnsi="宋体" w:eastAsia="宋体" w:cs="宋体"/>
                <w:color w:val="auto"/>
                <w:spacing w:val="-3"/>
                <w:sz w:val="18"/>
                <w:szCs w:val="18"/>
                <w:lang w:val="en-US" w:eastAsia="zh-CN"/>
              </w:rPr>
              <w:t xml:space="preserve"> /%</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w:t>
            </w:r>
          </w:p>
        </w:tc>
        <w:tc>
          <w:tcPr>
            <w:tcW w:w="461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接触瞬间凉感性能/（q</w:t>
            </w:r>
            <w:r>
              <w:rPr>
                <w:rFonts w:hint="eastAsia" w:ascii="宋体" w:hAnsi="宋体" w:eastAsia="宋体" w:cs="宋体"/>
                <w:color w:val="auto"/>
                <w:spacing w:val="-3"/>
                <w:sz w:val="18"/>
                <w:szCs w:val="18"/>
                <w:vertAlign w:val="subscript"/>
                <w:lang w:val="en-US" w:eastAsia="zh-CN"/>
              </w:rPr>
              <w:t>max</w:t>
            </w:r>
            <w:r>
              <w:rPr>
                <w:rFonts w:hint="eastAsia" w:ascii="宋体" w:hAnsi="宋体" w:eastAsia="宋体" w:cs="宋体"/>
                <w:color w:val="auto"/>
                <w:spacing w:val="-3"/>
                <w:sz w:val="18"/>
                <w:szCs w:val="18"/>
                <w:lang w:val="en-US" w:eastAsia="zh-CN"/>
              </w:rPr>
              <w:t>/(J/（cm·s）)</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5</w:t>
            </w:r>
          </w:p>
        </w:tc>
        <w:tc>
          <w:tcPr>
            <w:tcW w:w="1276"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吸湿发热/℃</w:t>
            </w:r>
          </w:p>
        </w:tc>
        <w:tc>
          <w:tcPr>
            <w:tcW w:w="3343"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最高升温值</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27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3343"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30 min内平均升温值</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6</w:t>
            </w:r>
          </w:p>
        </w:tc>
        <w:tc>
          <w:tcPr>
            <w:tcW w:w="1276"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远红外性能</w:t>
            </w:r>
          </w:p>
        </w:tc>
        <w:tc>
          <w:tcPr>
            <w:tcW w:w="1040"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面料</w:t>
            </w: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远红外发射率/%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76"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040"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远红外辐射温升/℃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7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40"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填充物</w:t>
            </w: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远红外发射率/%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127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40"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远红外辐射温升/℃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kern w:val="2"/>
                <w:sz w:val="18"/>
                <w:szCs w:val="18"/>
                <w:lang w:val="en-US" w:eastAsia="zh-CN" w:bidi="ar-SA"/>
              </w:rPr>
            </w:pPr>
            <w:r>
              <w:rPr>
                <w:rFonts w:hint="eastAsia" w:ascii="宋体" w:hAnsi="宋体" w:eastAsia="宋体" w:cs="宋体"/>
                <w:color w:val="auto"/>
                <w:spacing w:val="-3"/>
                <w:sz w:val="18"/>
                <w:szCs w:val="18"/>
                <w:lang w:val="en-US" w:eastAsia="zh-CN"/>
              </w:rPr>
              <w:t>7</w:t>
            </w:r>
          </w:p>
        </w:tc>
        <w:tc>
          <w:tcPr>
            <w:tcW w:w="2316" w:type="dxa"/>
            <w:gridSpan w:val="2"/>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消臭性能</w:t>
            </w:r>
            <w:r>
              <w:rPr>
                <w:rFonts w:hint="eastAsia" w:ascii="宋体" w:hAnsi="宋体" w:eastAsia="宋体" w:cs="宋体"/>
                <w:color w:val="auto"/>
                <w:spacing w:val="-3"/>
                <w:sz w:val="18"/>
                <w:szCs w:val="18"/>
                <w:vertAlign w:val="superscript"/>
                <w:lang w:val="en-US" w:eastAsia="zh-CN"/>
              </w:rPr>
              <w:t>c</w:t>
            </w:r>
            <w:r>
              <w:rPr>
                <w:rFonts w:hint="eastAsia" w:ascii="宋体" w:hAnsi="宋体" w:eastAsia="宋体" w:cs="宋体"/>
                <w:color w:val="auto"/>
                <w:spacing w:val="-3"/>
                <w:sz w:val="18"/>
                <w:szCs w:val="18"/>
                <w:lang w:val="en-US" w:eastAsia="zh-CN"/>
              </w:rPr>
              <w:t xml:space="preserve"> /%</w:t>
            </w: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氨气浓度减少率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2316" w:type="dxa"/>
            <w:gridSpan w:val="2"/>
            <w:vMerge w:val="continue"/>
            <w:vAlign w:val="center"/>
          </w:tcPr>
          <w:p>
            <w:pPr>
              <w:pStyle w:val="259"/>
              <w:keepNext w:val="0"/>
              <w:keepLines w:val="0"/>
              <w:pageBreakBefore w:val="0"/>
              <w:widowControl w:val="0"/>
              <w:numPr>
                <w:ilvl w:val="0"/>
                <w:numId w:val="2"/>
              </w:numPr>
              <w:tabs>
                <w:tab w:val="left" w:pos="850"/>
              </w:tabs>
              <w:kinsoku/>
              <w:wordWrap/>
              <w:overflowPunct/>
              <w:topLinePunct w:val="0"/>
              <w:autoSpaceDE/>
              <w:autoSpaceDN/>
              <w:bidi w:val="0"/>
              <w:adjustRightInd/>
              <w:snapToGrid/>
              <w:spacing w:before="0" w:line="240" w:lineRule="auto"/>
              <w:ind w:right="-6" w:rightChars="0"/>
              <w:jc w:val="center"/>
              <w:textAlignment w:val="auto"/>
              <w:rPr>
                <w:rFonts w:hint="eastAsia" w:ascii="宋体" w:hAnsi="宋体" w:eastAsia="宋体" w:cs="宋体"/>
                <w:color w:val="auto"/>
                <w:spacing w:val="-3"/>
                <w:kern w:val="2"/>
                <w:sz w:val="18"/>
                <w:szCs w:val="18"/>
                <w:lang w:val="en-US" w:eastAsia="zh-CN" w:bidi="ar-SA"/>
              </w:rPr>
            </w:pPr>
          </w:p>
        </w:tc>
        <w:tc>
          <w:tcPr>
            <w:tcW w:w="2303"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醋酸浓度减少率</w:t>
            </w:r>
          </w:p>
        </w:tc>
        <w:tc>
          <w:tcPr>
            <w:tcW w:w="4156"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洗前、洗后≥70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4" w:type="dxa"/>
            <w:gridSpan w:val="5"/>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596" w:leftChars="184" w:right="78" w:rightChars="0" w:hanging="210" w:hangingChars="121"/>
              <w:jc w:val="left"/>
              <w:textAlignment w:val="auto"/>
              <w:rPr>
                <w:color w:val="auto"/>
                <w:sz w:val="18"/>
              </w:rPr>
            </w:pPr>
            <w:r>
              <w:rPr>
                <w:rFonts w:hint="eastAsia" w:ascii="宋体" w:hAnsi="宋体" w:eastAsia="宋体" w:cs="宋体"/>
                <w:color w:val="auto"/>
                <w:spacing w:val="-3"/>
                <w:sz w:val="18"/>
                <w:szCs w:val="18"/>
                <w:vertAlign w:val="superscript"/>
              </w:rPr>
              <w:t>a</w:t>
            </w:r>
            <w:r>
              <w:rPr>
                <w:color w:val="auto"/>
                <w:spacing w:val="-3"/>
                <w:sz w:val="18"/>
              </w:rPr>
              <w:t xml:space="preserve"> </w:t>
            </w:r>
            <w:r>
              <w:rPr>
                <w:rFonts w:hint="eastAsia"/>
                <w:color w:val="auto"/>
                <w:spacing w:val="-3"/>
                <w:sz w:val="18"/>
                <w:lang w:val="en-US" w:eastAsia="zh-CN"/>
              </w:rPr>
              <w:t xml:space="preserve"> </w:t>
            </w:r>
            <w:r>
              <w:rPr>
                <w:color w:val="auto"/>
                <w:spacing w:val="-3"/>
                <w:sz w:val="18"/>
              </w:rPr>
              <w:t>样品需要按标准要求洗涤，抗菌产品只考核明示抗菌功能的部件</w:t>
            </w:r>
            <w:r>
              <w:rPr>
                <w:color w:val="auto"/>
                <w:sz w:val="18"/>
              </w:rPr>
              <w:t>（面料或填充物），对金黄色葡萄球菌和大肠杆菌同</w:t>
            </w:r>
            <w:r>
              <w:rPr>
                <w:color w:val="auto"/>
                <w:spacing w:val="-2"/>
                <w:sz w:val="18"/>
              </w:rPr>
              <w:t>时达标或者白色念珠菌单项达标为符合抗菌性能，产品宣传对多种菌种具有抗菌性能时，所宣称菌种应满足本表相应考</w:t>
            </w:r>
            <w:r>
              <w:rPr>
                <w:color w:val="auto"/>
                <w:spacing w:val="-4"/>
                <w:sz w:val="18"/>
              </w:rPr>
              <w:t>核指标。</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Chars="150"/>
              <w:jc w:val="left"/>
              <w:textAlignment w:val="auto"/>
              <w:rPr>
                <w:color w:val="auto"/>
                <w:sz w:val="18"/>
              </w:rPr>
            </w:pPr>
            <w:r>
              <w:rPr>
                <w:rFonts w:hint="eastAsia" w:ascii="宋体" w:hAnsi="宋体" w:eastAsia="宋体" w:cs="宋体"/>
                <w:color w:val="auto"/>
                <w:spacing w:val="-3"/>
                <w:sz w:val="18"/>
                <w:szCs w:val="18"/>
                <w:vertAlign w:val="superscript"/>
              </w:rPr>
              <w:t>b</w:t>
            </w:r>
            <w:r>
              <w:rPr>
                <w:color w:val="auto"/>
                <w:spacing w:val="-1"/>
                <w:sz w:val="18"/>
              </w:rPr>
              <w:t xml:space="preserve"> </w:t>
            </w:r>
            <w:r>
              <w:rPr>
                <w:rFonts w:hint="eastAsia"/>
                <w:color w:val="auto"/>
                <w:spacing w:val="-1"/>
                <w:sz w:val="18"/>
                <w:lang w:val="en-US" w:eastAsia="zh-CN"/>
              </w:rPr>
              <w:t xml:space="preserve"> </w:t>
            </w:r>
            <w:r>
              <w:rPr>
                <w:color w:val="auto"/>
                <w:spacing w:val="-1"/>
                <w:sz w:val="18"/>
              </w:rPr>
              <w:t>样品需按标准要求洗涤。</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left="489" w:leftChars="150" w:hanging="174" w:hangingChars="100"/>
              <w:jc w:val="left"/>
              <w:textAlignment w:val="auto"/>
              <w:rPr>
                <w:rFonts w:ascii="宋体" w:hAnsi="Times New Roman" w:eastAsia="宋体" w:cstheme="minorBidi"/>
                <w:color w:val="auto"/>
                <w:kern w:val="2"/>
                <w:sz w:val="18"/>
                <w:szCs w:val="22"/>
                <w:lang w:val="en-US" w:eastAsia="zh-CN" w:bidi="ar-SA"/>
              </w:rPr>
            </w:pPr>
            <w:r>
              <w:rPr>
                <w:rFonts w:hint="eastAsia" w:ascii="宋体" w:hAnsi="宋体" w:eastAsia="宋体" w:cs="宋体"/>
                <w:color w:val="auto"/>
                <w:spacing w:val="-3"/>
                <w:sz w:val="18"/>
                <w:szCs w:val="18"/>
                <w:vertAlign w:val="superscript"/>
              </w:rPr>
              <w:t>c</w:t>
            </w:r>
            <w:r>
              <w:rPr>
                <w:color w:val="auto"/>
                <w:spacing w:val="-1"/>
                <w:sz w:val="18"/>
              </w:rPr>
              <w:t xml:space="preserve"> </w:t>
            </w:r>
            <w:r>
              <w:rPr>
                <w:rFonts w:hint="eastAsia"/>
                <w:color w:val="auto"/>
                <w:spacing w:val="-1"/>
                <w:sz w:val="18"/>
                <w:lang w:val="en-US" w:eastAsia="zh-CN"/>
              </w:rPr>
              <w:t xml:space="preserve"> </w:t>
            </w:r>
            <w:r>
              <w:rPr>
                <w:color w:val="auto"/>
                <w:spacing w:val="-1"/>
                <w:sz w:val="18"/>
              </w:rPr>
              <w:t>适用于具有消臭性能产品，当氨气和醋酸两种气体浓度减少率达标时，可认为该产品对汗臭味具有相应级别的消臭性</w:t>
            </w:r>
            <w:r>
              <w:rPr>
                <w:color w:val="auto"/>
                <w:spacing w:val="-5"/>
                <w:sz w:val="18"/>
              </w:rPr>
              <w:t>能。</w:t>
            </w:r>
          </w:p>
        </w:tc>
      </w:tr>
    </w:tbl>
    <w:p>
      <w:pPr>
        <w:pStyle w:val="119"/>
        <w:spacing w:before="156" w:after="156"/>
        <w:rPr>
          <w:rFonts w:hint="eastAsia"/>
          <w:color w:val="auto"/>
          <w:spacing w:val="0"/>
          <w:w w:val="100"/>
          <w:position w:val="0"/>
          <w:sz w:val="21"/>
          <w:lang w:eastAsia="zh-CN"/>
        </w:rPr>
      </w:pPr>
      <w:bookmarkStart w:id="27" w:name="4.6　外观质量要求应符合表5规定。"/>
      <w:bookmarkEnd w:id="27"/>
      <w:r>
        <w:rPr>
          <w:rFonts w:hint="eastAsia"/>
          <w:color w:val="auto"/>
          <w:spacing w:val="0"/>
          <w:w w:val="100"/>
          <w:position w:val="0"/>
          <w:sz w:val="21"/>
          <w:lang w:eastAsia="zh-CN"/>
        </w:rPr>
        <w:t>外观质量</w:t>
      </w:r>
    </w:p>
    <w:p>
      <w:pPr>
        <w:pStyle w:val="119"/>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ascii="宋体" w:hAnsi="宋体" w:eastAsia="宋体" w:cs="宋体"/>
          <w:color w:val="auto"/>
          <w:spacing w:val="0"/>
          <w:w w:val="100"/>
          <w:position w:val="0"/>
          <w:sz w:val="21"/>
          <w:lang w:eastAsia="zh-CN"/>
        </w:rPr>
      </w:pPr>
      <w:r>
        <w:rPr>
          <w:rFonts w:hint="eastAsia" w:ascii="宋体" w:hAnsi="宋体" w:eastAsia="宋体" w:cs="宋体"/>
          <w:color w:val="auto"/>
          <w:spacing w:val="0"/>
          <w:w w:val="100"/>
          <w:position w:val="0"/>
          <w:sz w:val="21"/>
          <w:lang w:eastAsia="zh-CN"/>
        </w:rPr>
        <w:t>机织床上用品外观质量应符合表5要求，针织床上用品外观质量应符合表</w:t>
      </w:r>
      <w:r>
        <w:rPr>
          <w:rFonts w:hint="eastAsia" w:ascii="宋体" w:hAnsi="宋体" w:eastAsia="宋体" w:cs="宋体"/>
          <w:color w:val="auto"/>
          <w:spacing w:val="0"/>
          <w:w w:val="100"/>
          <w:position w:val="0"/>
          <w:sz w:val="21"/>
          <w:lang w:val="en-US" w:eastAsia="zh-CN"/>
        </w:rPr>
        <w:t>6的要求</w:t>
      </w:r>
      <w:r>
        <w:rPr>
          <w:rFonts w:hint="eastAsia" w:ascii="宋体" w:hAnsi="宋体" w:eastAsia="宋体" w:cs="宋体"/>
          <w:color w:val="auto"/>
          <w:spacing w:val="0"/>
          <w:w w:val="100"/>
          <w:position w:val="0"/>
          <w:sz w:val="21"/>
          <w:lang w:eastAsia="zh-CN"/>
        </w:rPr>
        <w:t>。</w:t>
      </w:r>
    </w:p>
    <w:p>
      <w:pPr>
        <w:pStyle w:val="208"/>
        <w:tabs>
          <w:tab w:val="left" w:pos="0"/>
        </w:tabs>
        <w:spacing w:before="156" w:after="156"/>
        <w:rPr>
          <w:rFonts w:ascii="黑体" w:eastAsia="黑体"/>
          <w:color w:val="auto"/>
        </w:rPr>
      </w:pPr>
      <w:bookmarkStart w:id="28" w:name="OLE_LINK4"/>
      <w:r>
        <w:rPr>
          <w:rFonts w:hint="eastAsia"/>
          <w:color w:val="auto"/>
          <w:spacing w:val="-4"/>
          <w:lang w:eastAsia="zh-CN"/>
        </w:rPr>
        <w:t>机织床上用品</w:t>
      </w:r>
      <w:r>
        <w:rPr>
          <w:rFonts w:ascii="黑体" w:eastAsia="黑体"/>
          <w:color w:val="auto"/>
          <w:spacing w:val="-4"/>
        </w:rPr>
        <w:t>外观质量</w:t>
      </w:r>
    </w:p>
    <w:tbl>
      <w:tblPr>
        <w:tblStyle w:val="18"/>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2829"/>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0"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考核项目</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88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bookmarkStart w:id="29" w:name="OLE_LINK3" w:colFirst="2" w:colLast="4"/>
            <w:r>
              <w:rPr>
                <w:rFonts w:hint="eastAsia" w:ascii="宋体" w:hAnsi="宋体" w:eastAsia="宋体" w:cs="宋体"/>
                <w:color w:val="auto"/>
                <w:spacing w:val="-3"/>
                <w:sz w:val="18"/>
                <w:szCs w:val="18"/>
                <w:lang w:val="en-US" w:eastAsia="zh-CN"/>
              </w:rPr>
              <w:t>规格尺寸偏差率/%</w:t>
            </w: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大件产品</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r>
              <w:rPr>
                <w:rFonts w:hint="eastAsia" w:hAnsi="宋体" w:cs="宋体"/>
                <w:color w:val="auto"/>
                <w:spacing w:val="-3"/>
                <w:sz w:val="18"/>
                <w:szCs w:val="18"/>
                <w:lang w:val="en-US" w:eastAsia="zh-CN"/>
              </w:rPr>
              <w:t>0</w:t>
            </w:r>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小件产品</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w:t>
            </w:r>
            <w:r>
              <w:rPr>
                <w:rFonts w:hint="eastAsia" w:hAnsi="宋体" w:cs="宋体"/>
                <w:color w:val="auto"/>
                <w:spacing w:val="-3"/>
                <w:sz w:val="18"/>
                <w:szCs w:val="18"/>
                <w:lang w:val="en-US" w:eastAsia="zh-CN"/>
              </w:rPr>
              <w:t>1</w:t>
            </w:r>
            <w:r>
              <w:rPr>
                <w:rFonts w:hint="eastAsia" w:ascii="宋体" w:hAnsi="宋体" w:eastAsia="宋体" w:cs="宋体"/>
                <w:color w:val="auto"/>
                <w:spacing w:val="-3"/>
                <w:sz w:val="18"/>
                <w:szCs w:val="18"/>
                <w:lang w:val="en-US" w:eastAsia="zh-CN"/>
              </w:rPr>
              <w:t>.</w:t>
            </w:r>
            <w:r>
              <w:rPr>
                <w:rFonts w:hint="eastAsia" w:hAnsi="宋体" w:cs="宋体"/>
                <w:color w:val="auto"/>
                <w:spacing w:val="-3"/>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0"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长宽不齐a/cm</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0"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纬斜、花斜/% ≤</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0"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色花、色差/级 ≥</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外观疵点</w:t>
            </w: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破损、针眼</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色斑、污渍</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线状疵点</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条块狀疵点</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82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印花不良</w:t>
            </w:r>
          </w:p>
        </w:tc>
        <w:tc>
          <w:tcPr>
            <w:tcW w:w="4769"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gridSpan w:val="3"/>
            <w:vAlign w:val="center"/>
          </w:tcPr>
          <w:p>
            <w:pPr>
              <w:pStyle w:val="259"/>
              <w:numPr>
                <w:ilvl w:val="0"/>
                <w:numId w:val="0"/>
              </w:numPr>
              <w:tabs>
                <w:tab w:val="left" w:pos="850"/>
              </w:tabs>
              <w:spacing w:before="87" w:line="242" w:lineRule="auto"/>
              <w:ind w:right="5128" w:rightChars="0" w:firstLine="352" w:firstLineChars="200"/>
              <w:jc w:val="left"/>
              <w:rPr>
                <w:color w:val="auto"/>
                <w:spacing w:val="-2"/>
                <w:sz w:val="18"/>
              </w:rPr>
            </w:pPr>
            <w:r>
              <w:rPr>
                <w:rFonts w:hint="eastAsia" w:ascii="黑体" w:hAnsi="黑体" w:eastAsia="黑体" w:cs="黑体"/>
                <w:color w:val="auto"/>
                <w:spacing w:val="-2"/>
                <w:sz w:val="18"/>
              </w:rPr>
              <w:t>注1：</w:t>
            </w:r>
            <w:r>
              <w:rPr>
                <w:color w:val="auto"/>
                <w:spacing w:val="-2"/>
                <w:sz w:val="18"/>
              </w:rPr>
              <w:t>枕套、垫套的规格尺寸偏差率只考核负偏差。</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color w:val="auto"/>
                <w:sz w:val="18"/>
              </w:rPr>
            </w:pPr>
            <w:r>
              <w:rPr>
                <w:rFonts w:hint="eastAsia" w:ascii="黑体" w:hAnsi="黑体" w:eastAsia="黑体" w:cs="黑体"/>
                <w:color w:val="auto"/>
                <w:sz w:val="18"/>
              </w:rPr>
              <w:t>注2：</w:t>
            </w:r>
            <w:r>
              <w:rPr>
                <w:color w:val="auto"/>
                <w:sz w:val="18"/>
              </w:rPr>
              <w:t>外观疵点及程度说明见GB/T</w:t>
            </w:r>
            <w:r>
              <w:rPr>
                <w:color w:val="auto"/>
                <w:spacing w:val="-23"/>
                <w:sz w:val="18"/>
              </w:rPr>
              <w:t xml:space="preserve"> </w:t>
            </w:r>
            <w:r>
              <w:rPr>
                <w:color w:val="auto"/>
                <w:sz w:val="18"/>
              </w:rPr>
              <w:t>22796</w:t>
            </w:r>
            <w:r>
              <w:rPr>
                <w:rFonts w:hint="eastAsia"/>
                <w:color w:val="auto"/>
                <w:sz w:val="18"/>
                <w:lang w:eastAsia="zh-CN"/>
              </w:rPr>
              <w:t>—</w:t>
            </w:r>
            <w:r>
              <w:rPr>
                <w:color w:val="auto"/>
                <w:sz w:val="18"/>
              </w:rPr>
              <w:t>2021附录A。</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rFonts w:hint="default" w:eastAsia="宋体"/>
                <w:color w:val="auto"/>
                <w:sz w:val="18"/>
                <w:lang w:val="en-US" w:eastAsia="zh-CN"/>
              </w:rPr>
            </w:pPr>
            <w:r>
              <w:rPr>
                <w:rFonts w:hint="eastAsia" w:ascii="黑体" w:hAnsi="黑体" w:eastAsia="黑体" w:cs="黑体"/>
                <w:color w:val="auto"/>
                <w:sz w:val="18"/>
                <w:lang w:val="en-US" w:eastAsia="zh-CN"/>
              </w:rPr>
              <w:t>注3：</w:t>
            </w:r>
            <w:r>
              <w:rPr>
                <w:rFonts w:hint="eastAsia"/>
                <w:color w:val="auto"/>
                <w:sz w:val="18"/>
                <w:lang w:val="en-US" w:eastAsia="zh-CN"/>
              </w:rPr>
              <w:t>最大尺寸（长度或宽度方向）大于100 cm为大件，小于或等于100 cm为小件。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rFonts w:hint="default" w:eastAsia="宋体"/>
                <w:color w:val="auto"/>
                <w:sz w:val="18"/>
                <w:lang w:val="en-US" w:eastAsia="zh-CN"/>
              </w:rPr>
            </w:pPr>
            <w:r>
              <w:rPr>
                <w:rFonts w:hint="eastAsia"/>
                <w:color w:val="auto"/>
                <w:sz w:val="18"/>
                <w:lang w:val="en-US" w:eastAsia="zh-CN"/>
              </w:rPr>
              <w:t xml:space="preserve"> </w:t>
            </w:r>
            <w:r>
              <w:rPr>
                <w:rFonts w:hint="eastAsia"/>
                <w:color w:val="auto"/>
                <w:sz w:val="18"/>
                <w:vertAlign w:val="superscript"/>
                <w:lang w:val="en-US" w:eastAsia="zh-CN"/>
              </w:rPr>
              <w:t>a</w:t>
            </w:r>
            <w:r>
              <w:rPr>
                <w:rFonts w:hint="eastAsia"/>
                <w:color w:val="auto"/>
                <w:sz w:val="18"/>
                <w:lang w:val="en-US" w:eastAsia="zh-CN"/>
              </w:rPr>
              <w:t xml:space="preserve"> 床上用品在长度方向或宽度方向本身尺寸允许偏差。</w:t>
            </w:r>
          </w:p>
        </w:tc>
      </w:tr>
      <w:bookmarkEnd w:id="28"/>
    </w:tbl>
    <w:p>
      <w:pPr>
        <w:pStyle w:val="208"/>
        <w:tabs>
          <w:tab w:val="left" w:pos="0"/>
        </w:tabs>
        <w:spacing w:before="156" w:after="156"/>
        <w:rPr>
          <w:rFonts w:ascii="黑体" w:eastAsia="黑体"/>
          <w:color w:val="auto"/>
        </w:rPr>
      </w:pPr>
      <w:bookmarkStart w:id="30" w:name="4.7　工艺质量要求应符合表6规定。"/>
      <w:bookmarkEnd w:id="30"/>
      <w:r>
        <w:rPr>
          <w:rFonts w:hint="eastAsia"/>
          <w:color w:val="auto"/>
          <w:spacing w:val="-4"/>
          <w:lang w:eastAsia="zh-CN"/>
        </w:rPr>
        <w:t>针织床上用品</w:t>
      </w:r>
      <w:r>
        <w:rPr>
          <w:rFonts w:ascii="黑体" w:eastAsia="黑体"/>
          <w:color w:val="auto"/>
          <w:spacing w:val="-4"/>
        </w:rPr>
        <w:t>外观质量</w:t>
      </w:r>
    </w:p>
    <w:tbl>
      <w:tblPr>
        <w:tblStyle w:val="18"/>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2167"/>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8"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考核项目</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88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规格尺寸偏差率/%</w:t>
            </w: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大件产品</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bookmarkStart w:id="31" w:name="OLE_LINK7"/>
            <w:r>
              <w:rPr>
                <w:rFonts w:hint="eastAsia" w:ascii="宋体" w:hAnsi="宋体" w:eastAsia="宋体" w:cs="宋体"/>
                <w:color w:val="auto"/>
                <w:spacing w:val="-3"/>
                <w:sz w:val="18"/>
                <w:szCs w:val="18"/>
                <w:lang w:val="en-US" w:eastAsia="zh-CN"/>
              </w:rPr>
              <w:t>+</w:t>
            </w:r>
            <w:r>
              <w:rPr>
                <w:rFonts w:hint="eastAsia" w:hAnsi="宋体" w:cs="宋体"/>
                <w:color w:val="auto"/>
                <w:spacing w:val="-3"/>
                <w:sz w:val="18"/>
                <w:szCs w:val="18"/>
                <w:lang w:val="en-US" w:eastAsia="zh-CN"/>
              </w:rPr>
              <w:t>2</w:t>
            </w:r>
            <w:r>
              <w:rPr>
                <w:rFonts w:hint="eastAsia" w:ascii="宋体" w:hAnsi="宋体" w:eastAsia="宋体" w:cs="宋体"/>
                <w:color w:val="auto"/>
                <w:spacing w:val="-3"/>
                <w:sz w:val="18"/>
                <w:szCs w:val="18"/>
                <w:lang w:val="en-US" w:eastAsia="zh-CN"/>
              </w:rPr>
              <w:t>.0〜-1.0</w:t>
            </w:r>
            <w:bookmark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小件产品</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w:t>
            </w:r>
            <w:r>
              <w:rPr>
                <w:rFonts w:hint="eastAsia" w:hAnsi="宋体" w:cs="宋体"/>
                <w:color w:val="auto"/>
                <w:spacing w:val="-3"/>
                <w:sz w:val="18"/>
                <w:szCs w:val="18"/>
                <w:lang w:val="en-US" w:eastAsia="zh-CN"/>
              </w:rPr>
              <w:t>2</w:t>
            </w:r>
            <w:r>
              <w:rPr>
                <w:rFonts w:hint="eastAsia" w:ascii="宋体" w:hAnsi="宋体" w:eastAsia="宋体" w:cs="宋体"/>
                <w:color w:val="auto"/>
                <w:spacing w:val="-3"/>
                <w:sz w:val="18"/>
                <w:szCs w:val="18"/>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8"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长宽不齐a/cm</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8"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色花、色差/级 ≥</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外观疵点</w:t>
            </w: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破损性疵点</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裂纱</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印花不良</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局部露底</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剪割不良、条痕</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1"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2167"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斑疵</w:t>
            </w:r>
          </w:p>
        </w:tc>
        <w:tc>
          <w:tcPr>
            <w:tcW w:w="5431"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default"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color w:val="auto"/>
                <w:sz w:val="18"/>
              </w:rPr>
            </w:pPr>
            <w:r>
              <w:rPr>
                <w:rFonts w:hint="eastAsia" w:ascii="黑体" w:hAnsi="黑体" w:eastAsia="黑体" w:cs="黑体"/>
                <w:color w:val="auto"/>
                <w:sz w:val="18"/>
              </w:rPr>
              <w:t>注</w:t>
            </w:r>
            <w:r>
              <w:rPr>
                <w:rFonts w:hint="eastAsia" w:ascii="黑体" w:hAnsi="黑体" w:eastAsia="黑体" w:cs="黑体"/>
                <w:color w:val="auto"/>
                <w:sz w:val="18"/>
                <w:lang w:val="en-US" w:eastAsia="zh-CN"/>
              </w:rPr>
              <w:t>1</w:t>
            </w:r>
            <w:r>
              <w:rPr>
                <w:rFonts w:hint="eastAsia" w:ascii="黑体" w:hAnsi="黑体" w:eastAsia="黑体" w:cs="黑体"/>
                <w:color w:val="auto"/>
                <w:sz w:val="18"/>
              </w:rPr>
              <w:t>：</w:t>
            </w:r>
            <w:r>
              <w:rPr>
                <w:color w:val="auto"/>
                <w:sz w:val="18"/>
              </w:rPr>
              <w:t>外观疵点及程度说明见GB/T</w:t>
            </w:r>
            <w:r>
              <w:rPr>
                <w:color w:val="auto"/>
                <w:spacing w:val="-23"/>
                <w:sz w:val="18"/>
              </w:rPr>
              <w:t xml:space="preserve"> </w:t>
            </w:r>
            <w:r>
              <w:rPr>
                <w:color w:val="auto"/>
                <w:sz w:val="18"/>
              </w:rPr>
              <w:t>22796</w:t>
            </w:r>
            <w:r>
              <w:rPr>
                <w:rFonts w:hint="eastAsia"/>
                <w:color w:val="auto"/>
                <w:sz w:val="18"/>
                <w:lang w:eastAsia="zh-CN"/>
              </w:rPr>
              <w:t>—</w:t>
            </w:r>
            <w:r>
              <w:rPr>
                <w:color w:val="auto"/>
                <w:sz w:val="18"/>
              </w:rPr>
              <w:t>2021附录A。</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rFonts w:hint="default" w:eastAsia="宋体"/>
                <w:color w:val="auto"/>
                <w:sz w:val="18"/>
                <w:lang w:val="en-US" w:eastAsia="zh-CN"/>
              </w:rPr>
            </w:pPr>
            <w:r>
              <w:rPr>
                <w:rFonts w:hint="eastAsia" w:ascii="黑体" w:hAnsi="黑体" w:eastAsia="黑体" w:cs="黑体"/>
                <w:color w:val="auto"/>
                <w:sz w:val="18"/>
                <w:lang w:val="en-US" w:eastAsia="zh-CN"/>
              </w:rPr>
              <w:t>注2：</w:t>
            </w:r>
            <w:r>
              <w:rPr>
                <w:rFonts w:hint="eastAsia"/>
                <w:color w:val="auto"/>
                <w:sz w:val="18"/>
                <w:lang w:val="en-US" w:eastAsia="zh-CN"/>
              </w:rPr>
              <w:t>最大尺寸（长度或宽度方向）大于100 cm为大件，小于或等于100 cm为小件。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9" w:type="dxa"/>
            <w:gridSpan w:val="3"/>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6" w:rightChars="0" w:firstLine="360" w:firstLineChars="200"/>
              <w:jc w:val="left"/>
              <w:textAlignment w:val="auto"/>
              <w:rPr>
                <w:rFonts w:hint="default" w:eastAsia="宋体"/>
                <w:color w:val="auto"/>
                <w:sz w:val="18"/>
                <w:lang w:val="en-US" w:eastAsia="zh-CN"/>
              </w:rPr>
            </w:pPr>
            <w:r>
              <w:rPr>
                <w:rFonts w:hint="eastAsia"/>
                <w:color w:val="auto"/>
                <w:sz w:val="18"/>
                <w:vertAlign w:val="superscript"/>
                <w:lang w:val="en-US" w:eastAsia="zh-CN"/>
              </w:rPr>
              <w:t>a</w:t>
            </w:r>
            <w:r>
              <w:rPr>
                <w:rFonts w:hint="eastAsia"/>
                <w:color w:val="auto"/>
                <w:sz w:val="18"/>
                <w:lang w:val="en-US" w:eastAsia="zh-CN"/>
              </w:rPr>
              <w:t xml:space="preserve"> 床上用品在长度方向或宽度方向本身尺寸允许偏差。</w:t>
            </w:r>
          </w:p>
        </w:tc>
      </w:tr>
    </w:tbl>
    <w:p>
      <w:pPr>
        <w:pStyle w:val="119"/>
        <w:spacing w:before="156" w:after="156"/>
        <w:rPr>
          <w:rFonts w:hint="eastAsia"/>
          <w:color w:val="auto"/>
          <w:spacing w:val="0"/>
          <w:w w:val="100"/>
          <w:position w:val="0"/>
          <w:sz w:val="21"/>
          <w:lang w:eastAsia="zh-CN"/>
        </w:rPr>
      </w:pPr>
      <w:r>
        <w:rPr>
          <w:rFonts w:hint="eastAsia"/>
          <w:color w:val="auto"/>
          <w:spacing w:val="0"/>
          <w:w w:val="100"/>
          <w:position w:val="0"/>
          <w:sz w:val="21"/>
          <w:lang w:eastAsia="zh-CN"/>
        </w:rPr>
        <w:t>工艺质量</w:t>
      </w:r>
    </w:p>
    <w:p>
      <w:pPr>
        <w:pStyle w:val="119"/>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ascii="宋体" w:hAnsi="宋体" w:eastAsia="宋体" w:cs="宋体"/>
          <w:color w:val="auto"/>
          <w:spacing w:val="0"/>
          <w:w w:val="100"/>
          <w:position w:val="0"/>
          <w:sz w:val="21"/>
          <w:lang w:eastAsia="zh-CN"/>
        </w:rPr>
      </w:pPr>
      <w:r>
        <w:rPr>
          <w:rFonts w:hint="eastAsia" w:ascii="宋体" w:hAnsi="宋体" w:eastAsia="宋体" w:cs="宋体"/>
          <w:color w:val="auto"/>
          <w:spacing w:val="0"/>
          <w:w w:val="100"/>
          <w:position w:val="0"/>
          <w:sz w:val="21"/>
          <w:lang w:eastAsia="zh-CN"/>
        </w:rPr>
        <w:t>应符合表</w:t>
      </w:r>
      <w:r>
        <w:rPr>
          <w:rFonts w:hint="eastAsia" w:ascii="宋体" w:hAnsi="宋体" w:eastAsia="宋体" w:cs="宋体"/>
          <w:color w:val="auto"/>
          <w:spacing w:val="0"/>
          <w:w w:val="100"/>
          <w:position w:val="0"/>
          <w:sz w:val="21"/>
          <w:lang w:val="en-US" w:eastAsia="zh-CN"/>
        </w:rPr>
        <w:t>7的</w:t>
      </w:r>
      <w:r>
        <w:rPr>
          <w:rFonts w:hint="eastAsia" w:ascii="宋体" w:hAnsi="宋体" w:eastAsia="宋体" w:cs="宋体"/>
          <w:color w:val="auto"/>
          <w:spacing w:val="0"/>
          <w:w w:val="100"/>
          <w:position w:val="0"/>
          <w:sz w:val="21"/>
          <w:lang w:eastAsia="zh-CN"/>
        </w:rPr>
        <w:t>要求。</w:t>
      </w:r>
    </w:p>
    <w:p>
      <w:pPr>
        <w:pStyle w:val="208"/>
        <w:tabs>
          <w:tab w:val="left" w:pos="0"/>
        </w:tabs>
        <w:spacing w:before="156" w:after="156"/>
        <w:rPr>
          <w:rFonts w:ascii="黑体" w:eastAsia="黑体"/>
          <w:color w:val="auto"/>
        </w:rPr>
      </w:pPr>
      <w:bookmarkStart w:id="32" w:name="表 6 工艺质量要求"/>
      <w:bookmarkEnd w:id="32"/>
      <w:r>
        <w:rPr>
          <w:rFonts w:ascii="黑体" w:eastAsia="黑体"/>
          <w:color w:val="auto"/>
          <w:spacing w:val="-4"/>
        </w:rPr>
        <w:t>工艺质量</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005"/>
        <w:gridCol w:w="7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考核项目</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填充物均匀程度</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厚薄均匀充实、四角平整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图案质量</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图案整体位正不偏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restart"/>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縫迹质量</w:t>
            </w:r>
          </w:p>
        </w:tc>
        <w:tc>
          <w:tcPr>
            <w:tcW w:w="10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缝纫针</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无跳针、浮针、漏针、偏针，脱线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continue"/>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p>
        </w:tc>
        <w:tc>
          <w:tcPr>
            <w:tcW w:w="100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绗缝针</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无跳针、浮针、漏针、偏针，脱线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绗缝质量</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轨迹流畅、平服，无折皱夹布；绗缝起止处应打回针，接针套正，无线头；同针迹整齐均匀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刺绣质量</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各种针法平、齐、匀、活、净</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平：针码平服,绣面平整;</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齐：图案花型自然,绣边轮廓齐整;匀:针码均匀、疏密适当;</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活：行针流畅,掺色自然;</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净：绣面洁净无沾污</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贴绣平服，无明显漏绣，喷绣色彩准确、牢固、过渡自然，不重叠、不错位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1" w:type="dxa"/>
            <w:gridSpan w:val="2"/>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缝纫质量</w:t>
            </w:r>
          </w:p>
        </w:tc>
        <w:tc>
          <w:tcPr>
            <w:tcW w:w="7165" w:type="dxa"/>
            <w:vAlign w:val="center"/>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轨迹匀、直、牢固，卷边拼缝平服齐直，宽狭一致，不露毛，面/里料缝制错位小于1 cm；接针套正，边口处必须打回针。</w:t>
            </w:r>
          </w:p>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firstLine="348" w:firstLineChars="200"/>
              <w:jc w:val="left"/>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针迹密度：平针不小于10针/3 cm，包缝不小于9针/3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gridSpan w:val="3"/>
          </w:tcPr>
          <w:p>
            <w:pPr>
              <w:pStyle w:val="263"/>
              <w:tabs>
                <w:tab w:val="left" w:pos="850"/>
              </w:tabs>
              <w:rPr>
                <w:rFonts w:hint="eastAsia" w:ascii="宋体" w:hAnsi="宋体" w:eastAsia="宋体" w:cs="宋体"/>
                <w:color w:val="auto"/>
                <w:spacing w:val="-3"/>
                <w:sz w:val="18"/>
                <w:szCs w:val="18"/>
              </w:rPr>
            </w:pPr>
            <w:r>
              <w:rPr>
                <w:color w:val="auto"/>
                <w:sz w:val="18"/>
                <w:szCs w:val="18"/>
              </w:rPr>
              <w:t>最大尺寸（长方向或宽方向）＞1OO</w:t>
            </w:r>
            <w:r>
              <w:rPr>
                <w:color w:val="auto"/>
                <w:spacing w:val="-3"/>
                <w:sz w:val="18"/>
                <w:szCs w:val="18"/>
              </w:rPr>
              <w:t xml:space="preserve"> </w:t>
            </w:r>
            <w:r>
              <w:rPr>
                <w:color w:val="auto"/>
                <w:sz w:val="18"/>
                <w:szCs w:val="18"/>
              </w:rPr>
              <w:t>cm为大件</w:t>
            </w:r>
            <w:r>
              <w:rPr>
                <w:rFonts w:hint="eastAsia"/>
                <w:color w:val="auto"/>
                <w:sz w:val="18"/>
                <w:szCs w:val="18"/>
                <w:lang w:eastAsia="zh-CN"/>
              </w:rPr>
              <w:t>，</w:t>
            </w:r>
            <w:r>
              <w:rPr>
                <w:rFonts w:hint="eastAsia" w:ascii="宋体" w:hAnsi="宋体" w:eastAsia="宋体" w:cs="宋体"/>
                <w:color w:val="auto"/>
                <w:sz w:val="18"/>
                <w:szCs w:val="18"/>
              </w:rPr>
              <w:t>≤</w:t>
            </w:r>
            <w:r>
              <w:rPr>
                <w:color w:val="auto"/>
                <w:sz w:val="18"/>
                <w:szCs w:val="18"/>
              </w:rPr>
              <w:t>1OO</w:t>
            </w:r>
            <w:r>
              <w:rPr>
                <w:color w:val="auto"/>
                <w:spacing w:val="-3"/>
                <w:sz w:val="18"/>
                <w:szCs w:val="18"/>
              </w:rPr>
              <w:t xml:space="preserve"> </w:t>
            </w:r>
            <w:r>
              <w:rPr>
                <w:color w:val="auto"/>
                <w:sz w:val="18"/>
                <w:szCs w:val="18"/>
              </w:rPr>
              <w:t>cm</w:t>
            </w:r>
            <w:r>
              <w:rPr>
                <w:color w:val="auto"/>
                <w:spacing w:val="-3"/>
                <w:sz w:val="18"/>
                <w:szCs w:val="18"/>
              </w:rPr>
              <w:t>为小件。</w:t>
            </w:r>
          </w:p>
        </w:tc>
      </w:tr>
    </w:tbl>
    <w:p>
      <w:pPr>
        <w:pStyle w:val="117"/>
        <w:spacing w:before="312" w:after="312"/>
        <w:rPr>
          <w:rFonts w:ascii="黑体" w:eastAsia="黑体"/>
          <w:color w:val="auto"/>
          <w:sz w:val="21"/>
        </w:rPr>
      </w:pPr>
      <w:bookmarkStart w:id="33" w:name="5　试验方法"/>
      <w:bookmarkEnd w:id="33"/>
      <w:bookmarkStart w:id="34" w:name="4.8　产品中应无缝针、断针等对人体可能造成伤害的金属残留物。"/>
      <w:bookmarkEnd w:id="34"/>
      <w:r>
        <w:rPr>
          <w:rFonts w:ascii="黑体" w:eastAsia="黑体"/>
          <w:color w:val="auto"/>
          <w:spacing w:val="-3"/>
          <w:w w:val="95"/>
          <w:sz w:val="21"/>
        </w:rPr>
        <w:t>试验方法</w:t>
      </w:r>
    </w:p>
    <w:p>
      <w:pPr>
        <w:pStyle w:val="119"/>
        <w:spacing w:before="156" w:after="156"/>
        <w:rPr>
          <w:rFonts w:hint="eastAsia"/>
          <w:color w:val="auto"/>
          <w:spacing w:val="0"/>
          <w:w w:val="100"/>
          <w:position w:val="0"/>
          <w:sz w:val="21"/>
          <w:lang w:val="en-US" w:eastAsia="zh-CN"/>
        </w:rPr>
      </w:pPr>
      <w:r>
        <w:rPr>
          <w:rFonts w:hint="eastAsia"/>
          <w:color w:val="auto"/>
          <w:spacing w:val="0"/>
          <w:w w:val="100"/>
          <w:position w:val="0"/>
          <w:sz w:val="21"/>
          <w:lang w:val="en-US" w:eastAsia="zh-CN"/>
        </w:rPr>
        <w:t>卫生安全</w:t>
      </w:r>
    </w:p>
    <w:p>
      <w:pPr>
        <w:pStyle w:val="131"/>
        <w:widowControl w:val="0"/>
        <w:numPr>
          <w:ilvl w:val="2"/>
          <w:numId w:val="0"/>
        </w:numPr>
        <w:ind w:leftChars="0" w:firstLine="398" w:firstLineChars="200"/>
        <w:rPr>
          <w:rFonts w:hint="eastAsia"/>
          <w:color w:val="auto"/>
          <w:w w:val="95"/>
          <w:sz w:val="21"/>
          <w:lang w:eastAsia="zh-CN"/>
        </w:rPr>
      </w:pPr>
      <w:r>
        <w:rPr>
          <w:rFonts w:hint="eastAsia"/>
          <w:color w:val="auto"/>
          <w:w w:val="95"/>
          <w:sz w:val="21"/>
          <w:lang w:eastAsia="zh-CN"/>
        </w:rPr>
        <w:t>产品的卫生安全按GB 18401规定的试验方法执行，儿童产品的卫生安全按GB 31701</w:t>
      </w:r>
      <w:bookmarkStart w:id="35" w:name="OLE_LINK11"/>
      <w:r>
        <w:rPr>
          <w:rFonts w:hint="eastAsia"/>
          <w:color w:val="auto"/>
          <w:w w:val="95"/>
          <w:sz w:val="21"/>
          <w:lang w:eastAsia="zh-CN"/>
        </w:rPr>
        <w:t>规定的试验方法</w:t>
      </w:r>
      <w:bookmarkEnd w:id="35"/>
      <w:r>
        <w:rPr>
          <w:rFonts w:hint="eastAsia"/>
          <w:color w:val="auto"/>
          <w:w w:val="95"/>
          <w:sz w:val="21"/>
          <w:lang w:eastAsia="zh-CN"/>
        </w:rPr>
        <w:t>执行。</w:t>
      </w:r>
    </w:p>
    <w:p>
      <w:pPr>
        <w:pStyle w:val="119"/>
        <w:spacing w:before="156" w:after="156"/>
        <w:rPr>
          <w:rFonts w:hint="eastAsia"/>
          <w:color w:val="auto"/>
          <w:spacing w:val="0"/>
          <w:w w:val="100"/>
          <w:position w:val="0"/>
          <w:sz w:val="21"/>
          <w:lang w:eastAsia="zh-CN"/>
        </w:rPr>
      </w:pPr>
      <w:bookmarkStart w:id="36" w:name="5.1　内在质量"/>
      <w:bookmarkEnd w:id="36"/>
      <w:r>
        <w:rPr>
          <w:rFonts w:hint="eastAsia"/>
          <w:color w:val="auto"/>
          <w:spacing w:val="0"/>
          <w:w w:val="100"/>
          <w:position w:val="0"/>
          <w:sz w:val="21"/>
          <w:lang w:eastAsia="zh-CN"/>
        </w:rPr>
        <w:t>内在质量</w:t>
      </w:r>
    </w:p>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ascii="黑体" w:eastAsia="黑体"/>
          <w:color w:val="auto"/>
          <w:sz w:val="21"/>
        </w:rPr>
      </w:pPr>
      <w:r>
        <w:rPr>
          <w:rFonts w:hint="eastAsia" w:ascii="黑体" w:hAnsi="黑体" w:eastAsia="黑体" w:cs="黑体"/>
          <w:color w:val="auto"/>
          <w:w w:val="95"/>
          <w:sz w:val="21"/>
        </w:rPr>
        <w:t>填充物</w:t>
      </w:r>
      <w:r>
        <w:rPr>
          <w:rFonts w:hint="eastAsia" w:ascii="黑体" w:hAnsi="黑体" w:eastAsia="黑体" w:cs="黑体"/>
          <w:color w:val="auto"/>
          <w:w w:val="95"/>
          <w:sz w:val="21"/>
          <w:lang w:eastAsia="zh-CN"/>
        </w:rPr>
        <w:t>质量</w:t>
      </w:r>
    </w:p>
    <w:p>
      <w:pPr>
        <w:pStyle w:val="133"/>
        <w:widowControl/>
        <w:spacing w:before="0" w:after="0"/>
        <w:rPr>
          <w:rFonts w:hint="eastAsia" w:ascii="宋体" w:hAnsi="Times New Roman" w:eastAsia="宋体" w:cs="Times New Roman"/>
          <w:color w:val="auto"/>
        </w:rPr>
      </w:pPr>
      <w:r>
        <w:rPr>
          <w:rFonts w:hint="eastAsia" w:ascii="宋体" w:hAnsi="Times New Roman" w:eastAsia="宋体" w:cs="Times New Roman"/>
          <w:color w:val="auto"/>
        </w:rPr>
        <w:t>纤维含量按 GB/T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2910(所有部分)、FZ/T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01057(所有部分)</w:t>
      </w:r>
      <w:r>
        <w:rPr>
          <w:rFonts w:hint="eastAsia"/>
          <w:color w:val="auto"/>
          <w:w w:val="95"/>
          <w:sz w:val="21"/>
          <w:lang w:eastAsia="zh-CN"/>
        </w:rPr>
        <w:t>规定的试验方法</w:t>
      </w:r>
      <w:r>
        <w:rPr>
          <w:rFonts w:hint="eastAsia" w:ascii="宋体" w:hAnsi="Times New Roman" w:eastAsia="宋体" w:cs="Times New Roman"/>
          <w:color w:val="auto"/>
        </w:rPr>
        <w:t>，纤维类填充物取样按GB/T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22796</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2021</w:t>
      </w:r>
      <w:r>
        <w:rPr>
          <w:rFonts w:hint="eastAsia" w:ascii="宋体" w:hAnsi="Times New Roman" w:eastAsia="宋体" w:cs="Times New Roman"/>
          <w:color w:val="auto"/>
          <w:lang w:eastAsia="zh-CN"/>
        </w:rPr>
        <w:t>中</w:t>
      </w:r>
      <w:r>
        <w:rPr>
          <w:rFonts w:hint="eastAsia" w:ascii="宋体" w:hAnsi="Times New Roman" w:eastAsia="宋体" w:cs="Times New Roman"/>
          <w:color w:val="auto"/>
        </w:rPr>
        <w:t>附录B</w:t>
      </w:r>
      <w:r>
        <w:rPr>
          <w:rFonts w:hint="eastAsia"/>
          <w:color w:val="auto"/>
          <w:w w:val="95"/>
          <w:sz w:val="21"/>
          <w:lang w:eastAsia="zh-CN"/>
        </w:rPr>
        <w:t>规定的试验方法</w:t>
      </w:r>
      <w:r>
        <w:rPr>
          <w:rFonts w:hint="eastAsia" w:ascii="宋体" w:hAnsi="Times New Roman" w:eastAsia="宋体" w:cs="Times New Roman"/>
          <w:color w:val="auto"/>
        </w:rPr>
        <w:t>执行，羽绒羽毛按</w:t>
      </w:r>
      <w:bookmarkStart w:id="37" w:name="OLE_LINK18"/>
      <w:r>
        <w:rPr>
          <w:rFonts w:hint="eastAsia" w:ascii="宋体" w:hAnsi="Times New Roman" w:eastAsia="宋体" w:cs="Times New Roman"/>
          <w:color w:val="auto"/>
        </w:rPr>
        <w:t>QB/T 119</w:t>
      </w:r>
      <w:bookmarkEnd w:id="37"/>
      <w:r>
        <w:rPr>
          <w:rFonts w:hint="eastAsia" w:ascii="宋体" w:hAnsi="Times New Roman" w:eastAsia="宋体" w:cs="Times New Roman"/>
          <w:color w:val="auto"/>
          <w:lang w:val="en-US" w:eastAsia="zh-CN"/>
        </w:rPr>
        <w:t>3</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2012</w:t>
      </w:r>
      <w:r>
        <w:rPr>
          <w:rFonts w:hint="eastAsia" w:ascii="宋体" w:hAnsi="Times New Roman" w:eastAsia="宋体" w:cs="Times New Roman"/>
          <w:color w:val="auto"/>
          <w:lang w:eastAsia="zh-CN"/>
        </w:rPr>
        <w:t>中</w:t>
      </w:r>
      <w:r>
        <w:rPr>
          <w:rFonts w:hint="eastAsia" w:ascii="宋体" w:hAnsi="Times New Roman" w:eastAsia="宋体" w:cs="Times New Roman"/>
          <w:color w:val="auto"/>
        </w:rPr>
        <w:t>5.1.1和5.1.2</w:t>
      </w:r>
      <w:r>
        <w:rPr>
          <w:rFonts w:hint="eastAsia"/>
          <w:color w:val="auto"/>
          <w:w w:val="95"/>
          <w:sz w:val="21"/>
          <w:lang w:eastAsia="zh-CN"/>
        </w:rPr>
        <w:t>规定的试验方法</w:t>
      </w:r>
      <w:r>
        <w:rPr>
          <w:rFonts w:hint="eastAsia" w:ascii="宋体" w:hAnsi="Times New Roman" w:eastAsia="宋体" w:cs="Times New Roman"/>
          <w:color w:val="auto"/>
        </w:rPr>
        <w:t>执行。PE软管、聚氨酯材料按GB/T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6040</w:t>
      </w:r>
      <w:r>
        <w:rPr>
          <w:rFonts w:hint="eastAsia"/>
          <w:color w:val="auto"/>
          <w:w w:val="95"/>
          <w:sz w:val="21"/>
          <w:lang w:eastAsia="zh-CN"/>
        </w:rPr>
        <w:t>规定的试验方法</w:t>
      </w:r>
      <w:r>
        <w:rPr>
          <w:rFonts w:hint="eastAsia" w:ascii="宋体" w:hAnsi="Times New Roman" w:eastAsia="宋体" w:cs="Times New Roman"/>
          <w:color w:val="auto"/>
        </w:rPr>
        <w:t>执行，乳胶/乳胶颗粒按GB/T 6040、GB/T 14837.1、GB/T 29613.1、GB/T 4498.1、GB/T 21870</w:t>
      </w:r>
      <w:r>
        <w:rPr>
          <w:rFonts w:hint="eastAsia" w:ascii="宋体" w:hAnsi="Times New Roman" w:eastAsia="宋体" w:cs="Times New Roman"/>
          <w:color w:val="auto"/>
          <w:lang w:eastAsia="zh-CN"/>
        </w:rPr>
        <w:t>、</w:t>
      </w:r>
      <w:r>
        <w:rPr>
          <w:rFonts w:hint="eastAsia" w:ascii="宋体" w:hAnsi="Times New Roman" w:eastAsia="宋体" w:cs="Times New Roman"/>
          <w:color w:val="auto"/>
        </w:rPr>
        <w:t>GB/T 22933</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38" w:name="5.1.2　填充物含油率蚕丝类纤维按FZ/T 40006执行，羊毛类纤维按GB/"/>
      <w:bookmarkEnd w:id="38"/>
      <w:r>
        <w:rPr>
          <w:rFonts w:hint="eastAsia" w:ascii="宋体" w:hAnsi="Times New Roman" w:eastAsia="宋体" w:cs="Times New Roman"/>
          <w:color w:val="auto"/>
        </w:rPr>
        <w:t>填充物含油率蚕丝类纤维按FZ/T 40006</w:t>
      </w:r>
      <w:r>
        <w:rPr>
          <w:rFonts w:hint="eastAsia"/>
          <w:color w:val="auto"/>
          <w:w w:val="95"/>
          <w:sz w:val="21"/>
          <w:lang w:eastAsia="zh-CN"/>
        </w:rPr>
        <w:t>规定的试验方法</w:t>
      </w:r>
      <w:r>
        <w:rPr>
          <w:rFonts w:hint="eastAsia" w:ascii="宋体" w:hAnsi="Times New Roman" w:eastAsia="宋体" w:cs="Times New Roman"/>
          <w:color w:val="auto"/>
        </w:rPr>
        <w:t>执行，羊毛类纤维按GB/T 6977</w:t>
      </w:r>
      <w:r>
        <w:rPr>
          <w:rFonts w:hint="eastAsia"/>
          <w:color w:val="auto"/>
          <w:w w:val="95"/>
          <w:sz w:val="21"/>
          <w:lang w:eastAsia="zh-CN"/>
        </w:rPr>
        <w:t>规定的试验方法</w:t>
      </w:r>
      <w:r>
        <w:rPr>
          <w:rFonts w:hint="eastAsia" w:ascii="宋体" w:hAnsi="Times New Roman" w:eastAsia="宋体" w:cs="Times New Roman"/>
          <w:color w:val="auto"/>
        </w:rPr>
        <w:t>执行，化学纤维按GB/T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6504</w:t>
      </w:r>
      <w:r>
        <w:rPr>
          <w:rFonts w:hint="eastAsia"/>
          <w:color w:val="auto"/>
          <w:w w:val="95"/>
          <w:sz w:val="21"/>
          <w:lang w:eastAsia="zh-CN"/>
        </w:rPr>
        <w:t>规定的试验方法</w:t>
      </w:r>
      <w:r>
        <w:rPr>
          <w:rFonts w:hint="eastAsia" w:ascii="宋体" w:hAnsi="Times New Roman" w:eastAsia="宋体" w:cs="Times New Roman"/>
          <w:color w:val="auto"/>
        </w:rPr>
        <w:t>执行，天然蛋白质纤维按GB/T 6977</w:t>
      </w:r>
      <w:r>
        <w:rPr>
          <w:rFonts w:hint="eastAsia"/>
          <w:color w:val="auto"/>
          <w:w w:val="95"/>
          <w:sz w:val="21"/>
          <w:lang w:eastAsia="zh-CN"/>
        </w:rPr>
        <w:t>规定的试验方法</w:t>
      </w:r>
      <w:r>
        <w:rPr>
          <w:rFonts w:hint="eastAsia" w:ascii="宋体" w:hAnsi="Times New Roman" w:eastAsia="宋体" w:cs="Times New Roman"/>
          <w:color w:val="auto"/>
        </w:rPr>
        <w:t>执行</w:t>
      </w:r>
      <w:r>
        <w:rPr>
          <w:rFonts w:hint="eastAsia" w:ascii="宋体" w:hAnsi="Times New Roman" w:eastAsia="宋体" w:cs="Times New Roman"/>
          <w:color w:val="auto"/>
          <w:lang w:eastAsia="zh-CN"/>
        </w:rPr>
        <w:t>，</w:t>
      </w:r>
      <w:r>
        <w:rPr>
          <w:rFonts w:hint="eastAsia" w:ascii="宋体" w:hAnsi="Times New Roman" w:eastAsia="宋体" w:cs="Times New Roman"/>
          <w:color w:val="auto"/>
        </w:rPr>
        <w:t>填充物取样按GB/T 22796</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2021中附录B</w:t>
      </w:r>
      <w:r>
        <w:rPr>
          <w:rFonts w:hint="eastAsia" w:ascii="宋体" w:hAnsi="Times New Roman" w:eastAsia="宋体" w:cs="Times New Roman"/>
          <w:color w:val="auto"/>
          <w:lang w:eastAsia="zh-CN"/>
        </w:rPr>
        <w:t>的</w:t>
      </w:r>
      <w:r>
        <w:rPr>
          <w:rFonts w:hint="eastAsia" w:ascii="宋体" w:hAnsi="Times New Roman" w:eastAsia="宋体" w:cs="Times New Roman"/>
          <w:color w:val="auto"/>
        </w:rPr>
        <w:t>规定执行。</w:t>
      </w:r>
    </w:p>
    <w:p>
      <w:pPr>
        <w:pStyle w:val="133"/>
        <w:widowControl/>
        <w:spacing w:before="0" w:after="0"/>
        <w:rPr>
          <w:rFonts w:hint="eastAsia" w:ascii="宋体" w:hAnsi="Times New Roman" w:eastAsia="宋体" w:cs="Times New Roman"/>
          <w:color w:val="auto"/>
        </w:rPr>
      </w:pPr>
      <w:r>
        <w:rPr>
          <w:rFonts w:hint="eastAsia" w:ascii="宋体" w:hAnsi="Times New Roman" w:eastAsia="宋体" w:cs="Times New Roman"/>
          <w:color w:val="auto"/>
        </w:rPr>
        <w:t>填充物质量偏差率按GB/T 22796</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2021</w:t>
      </w:r>
      <w:r>
        <w:rPr>
          <w:rFonts w:hint="eastAsia" w:ascii="宋体" w:hAnsi="Times New Roman" w:eastAsia="宋体" w:cs="Times New Roman"/>
          <w:color w:val="auto"/>
          <w:lang w:eastAsia="zh-CN"/>
        </w:rPr>
        <w:t>中</w:t>
      </w:r>
      <w:r>
        <w:rPr>
          <w:rFonts w:hint="eastAsia" w:ascii="宋体" w:hAnsi="Times New Roman" w:eastAsia="宋体" w:cs="Times New Roman"/>
          <w:color w:val="auto"/>
        </w:rPr>
        <w:t>5.1.1</w:t>
      </w:r>
      <w:bookmarkStart w:id="39" w:name="OLE_LINK13"/>
      <w:r>
        <w:rPr>
          <w:rFonts w:hint="eastAsia"/>
          <w:color w:val="auto"/>
          <w:w w:val="95"/>
          <w:sz w:val="21"/>
          <w:lang w:eastAsia="zh-CN"/>
        </w:rPr>
        <w:t>规定的试验方法</w:t>
      </w:r>
      <w:bookmarkEnd w:id="39"/>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r>
        <w:rPr>
          <w:rFonts w:hint="eastAsia" w:ascii="宋体" w:hAnsi="Times New Roman" w:eastAsia="宋体" w:cs="Times New Roman"/>
          <w:color w:val="auto"/>
        </w:rPr>
        <w:t>羽绒羽毛填充物品质按QB/T 1196</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2012</w:t>
      </w:r>
      <w:r>
        <w:rPr>
          <w:rFonts w:hint="eastAsia" w:ascii="宋体" w:hAnsi="Times New Roman" w:eastAsia="宋体" w:cs="Times New Roman"/>
          <w:color w:val="auto"/>
          <w:lang w:eastAsia="zh-CN"/>
        </w:rPr>
        <w:t>中</w:t>
      </w:r>
      <w:r>
        <w:rPr>
          <w:rFonts w:hint="eastAsia" w:ascii="宋体" w:hAnsi="Times New Roman" w:eastAsia="宋体" w:cs="Times New Roman"/>
          <w:color w:val="auto"/>
        </w:rPr>
        <w:t>5.1.2</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color w:val="auto"/>
          <w:sz w:val="21"/>
          <w:szCs w:val="21"/>
        </w:rPr>
      </w:pPr>
      <w:r>
        <w:rPr>
          <w:rFonts w:hint="eastAsia" w:ascii="宋体" w:hAnsi="宋体" w:eastAsia="宋体" w:cs="宋体"/>
          <w:color w:val="auto"/>
          <w:spacing w:val="-3"/>
          <w:sz w:val="21"/>
          <w:szCs w:val="21"/>
          <w:lang w:eastAsia="zh-CN"/>
        </w:rPr>
        <w:t>絮用纤维</w:t>
      </w:r>
      <w:r>
        <w:rPr>
          <w:rFonts w:hint="eastAsia" w:hAnsi="宋体" w:cs="宋体"/>
          <w:color w:val="auto"/>
          <w:spacing w:val="-3"/>
          <w:sz w:val="21"/>
          <w:szCs w:val="21"/>
          <w:lang w:eastAsia="zh-CN"/>
        </w:rPr>
        <w:t>按</w:t>
      </w:r>
      <w:r>
        <w:rPr>
          <w:rFonts w:hint="eastAsia" w:ascii="宋体" w:hAnsi="宋体" w:eastAsia="宋体" w:cs="宋体"/>
          <w:color w:val="auto"/>
          <w:spacing w:val="-3"/>
          <w:sz w:val="21"/>
          <w:szCs w:val="21"/>
          <w:lang w:eastAsia="zh-CN"/>
        </w:rPr>
        <w:t>GB 18383</w:t>
      </w:r>
      <w:r>
        <w:rPr>
          <w:rFonts w:hint="eastAsia"/>
          <w:color w:val="auto"/>
          <w:w w:val="95"/>
          <w:sz w:val="21"/>
          <w:szCs w:val="21"/>
          <w:lang w:eastAsia="zh-CN"/>
        </w:rPr>
        <w:t>规定的试验方法执行。</w:t>
      </w:r>
    </w:p>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r>
        <w:rPr>
          <w:rFonts w:hint="eastAsia" w:ascii="黑体" w:hAnsi="黑体" w:eastAsia="黑体" w:cs="黑体"/>
          <w:color w:val="auto"/>
          <w:w w:val="95"/>
          <w:sz w:val="21"/>
        </w:rPr>
        <w:t>纺织品织物</w:t>
      </w:r>
      <w:r>
        <w:rPr>
          <w:rFonts w:hint="eastAsia" w:ascii="黑体" w:hAnsi="黑体" w:eastAsia="黑体" w:cs="黑体"/>
          <w:color w:val="auto"/>
          <w:w w:val="95"/>
          <w:sz w:val="21"/>
          <w:lang w:eastAsia="zh-CN"/>
        </w:rPr>
        <w:t>质量</w:t>
      </w:r>
    </w:p>
    <w:p>
      <w:pPr>
        <w:pStyle w:val="133"/>
        <w:widowControl/>
        <w:spacing w:before="0" w:after="0"/>
        <w:rPr>
          <w:rFonts w:hint="eastAsia" w:ascii="宋体" w:hAnsi="Times New Roman" w:eastAsia="宋体" w:cs="Times New Roman"/>
          <w:color w:val="auto"/>
        </w:rPr>
      </w:pPr>
      <w:bookmarkStart w:id="40" w:name="5.1.5　断裂强力按GB/T 3923.1执行。"/>
      <w:bookmarkEnd w:id="40"/>
      <w:r>
        <w:rPr>
          <w:rFonts w:hint="eastAsia" w:ascii="宋体" w:hAnsi="Times New Roman" w:eastAsia="宋体" w:cs="Times New Roman"/>
          <w:color w:val="auto"/>
        </w:rPr>
        <w:t>断裂强力按GB/T 3923.1</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41" w:name="5.1.6　顶破强力按GB/T 19976执行,钢球直径采用(38±0.02) "/>
      <w:bookmarkEnd w:id="41"/>
      <w:r>
        <w:rPr>
          <w:rFonts w:hint="eastAsia" w:ascii="宋体" w:hAnsi="Times New Roman" w:eastAsia="宋体" w:cs="Times New Roman"/>
          <w:color w:val="auto"/>
        </w:rPr>
        <w:t>顶破强力按GB/T 19976</w:t>
      </w:r>
      <w:r>
        <w:rPr>
          <w:rFonts w:hint="eastAsia"/>
          <w:color w:val="auto"/>
          <w:w w:val="95"/>
          <w:sz w:val="21"/>
          <w:lang w:eastAsia="zh-CN"/>
        </w:rPr>
        <w:t>规定的试验方法</w:t>
      </w:r>
      <w:r>
        <w:rPr>
          <w:rFonts w:hint="eastAsia" w:ascii="宋体" w:hAnsi="Times New Roman" w:eastAsia="宋体" w:cs="Times New Roman"/>
          <w:color w:val="auto"/>
        </w:rPr>
        <w:t>执行</w:t>
      </w:r>
      <w:r>
        <w:rPr>
          <w:rFonts w:hint="eastAsia" w:ascii="宋体" w:hAnsi="Times New Roman" w:eastAsia="宋体" w:cs="Times New Roman"/>
          <w:color w:val="auto"/>
          <w:lang w:eastAsia="zh-CN"/>
        </w:rPr>
        <w:t>，</w:t>
      </w:r>
      <w:r>
        <w:rPr>
          <w:rFonts w:hint="eastAsia" w:ascii="宋体" w:hAnsi="Times New Roman" w:eastAsia="宋体" w:cs="Times New Roman"/>
          <w:color w:val="auto"/>
        </w:rPr>
        <w:t>钢球直径采用</w:t>
      </w:r>
      <w:r>
        <w:rPr>
          <w:rFonts w:hint="eastAsia" w:ascii="宋体" w:hAnsi="Times New Roman" w:eastAsia="宋体" w:cs="Times New Roman"/>
          <w:color w:val="auto"/>
          <w:lang w:eastAsia="zh-CN"/>
        </w:rPr>
        <w:t>（</w:t>
      </w:r>
      <w:r>
        <w:rPr>
          <w:rFonts w:hint="eastAsia" w:ascii="宋体" w:hAnsi="Times New Roman" w:eastAsia="宋体" w:cs="Times New Roman"/>
          <w:color w:val="auto"/>
        </w:rPr>
        <w:t>38±0.02</w:t>
      </w:r>
      <w:r>
        <w:rPr>
          <w:rFonts w:hint="eastAsia" w:ascii="宋体" w:hAnsi="Times New Roman" w:eastAsia="宋体" w:cs="Times New Roman"/>
          <w:color w:val="auto"/>
          <w:lang w:eastAsia="zh-CN"/>
        </w:rPr>
        <w:t>）</w:t>
      </w:r>
      <w:r>
        <w:rPr>
          <w:rFonts w:hint="eastAsia" w:ascii="宋体" w:hAnsi="Times New Roman" w:eastAsia="宋体" w:cs="Times New Roman"/>
          <w:color w:val="auto"/>
        </w:rPr>
        <w:t xml:space="preserve"> mm。</w:t>
      </w:r>
    </w:p>
    <w:p>
      <w:pPr>
        <w:pStyle w:val="133"/>
        <w:widowControl/>
        <w:spacing w:before="0" w:after="0"/>
        <w:rPr>
          <w:rFonts w:hint="eastAsia" w:ascii="宋体" w:hAnsi="Times New Roman" w:eastAsia="宋体" w:cs="Times New Roman"/>
          <w:color w:val="auto"/>
        </w:rPr>
      </w:pPr>
      <w:bookmarkStart w:id="42" w:name="5.1.7　起球性能针织面料按GB/T 4802.1-2008参数E执行，评定按"/>
      <w:bookmarkEnd w:id="42"/>
      <w:r>
        <w:rPr>
          <w:rFonts w:hint="eastAsia" w:ascii="宋体" w:hAnsi="Times New Roman" w:eastAsia="宋体" w:cs="Times New Roman"/>
          <w:color w:val="auto"/>
        </w:rPr>
        <w:t>起球性能针织面料按GB/T 4802.1</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2008参数E</w:t>
      </w:r>
      <w:r>
        <w:rPr>
          <w:rFonts w:hint="eastAsia"/>
          <w:color w:val="auto"/>
          <w:w w:val="95"/>
          <w:sz w:val="21"/>
          <w:lang w:eastAsia="zh-CN"/>
        </w:rPr>
        <w:t>规定的试验方法</w:t>
      </w:r>
      <w:r>
        <w:rPr>
          <w:rFonts w:hint="eastAsia" w:ascii="宋体" w:hAnsi="Times New Roman" w:eastAsia="宋体" w:cs="Times New Roman"/>
          <w:color w:val="auto"/>
        </w:rPr>
        <w:t>，评定按GSB 16-1523</w:t>
      </w:r>
      <w:r>
        <w:rPr>
          <w:rFonts w:hint="eastAsia" w:hAnsi="Times New Roman" w:cs="Times New Roman"/>
          <w:color w:val="auto"/>
          <w:lang w:eastAsia="zh-CN"/>
        </w:rPr>
        <w:t>规定执行</w:t>
      </w:r>
      <w:r>
        <w:rPr>
          <w:rFonts w:hint="eastAsia" w:ascii="宋体" w:hAnsi="Times New Roman" w:eastAsia="宋体" w:cs="Times New Roman"/>
          <w:color w:val="auto"/>
          <w:lang w:eastAsia="zh-CN"/>
        </w:rPr>
        <w:t>；</w:t>
      </w:r>
      <w:r>
        <w:rPr>
          <w:rFonts w:hint="eastAsia" w:ascii="宋体" w:hAnsi="Times New Roman" w:eastAsia="宋体" w:cs="Times New Roman"/>
          <w:color w:val="auto"/>
        </w:rPr>
        <w:t>机织面料按GB</w:t>
      </w:r>
      <w:r>
        <w:rPr>
          <w:rFonts w:hint="eastAsia" w:hAnsi="Times New Roman" w:cs="Times New Roman"/>
          <w:color w:val="auto"/>
          <w:lang w:val="en-US" w:eastAsia="zh-CN"/>
        </w:rPr>
        <w:t>/</w:t>
      </w:r>
      <w:r>
        <w:rPr>
          <w:rFonts w:hint="eastAsia" w:ascii="宋体" w:hAnsi="Times New Roman" w:eastAsia="宋体" w:cs="Times New Roman"/>
          <w:color w:val="auto"/>
        </w:rPr>
        <w:t>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4802.2</w:t>
      </w:r>
      <w:r>
        <w:rPr>
          <w:rFonts w:hint="eastAsia"/>
          <w:color w:val="auto"/>
          <w:w w:val="95"/>
          <w:sz w:val="21"/>
          <w:lang w:eastAsia="zh-CN"/>
        </w:rPr>
        <w:t>规定的试验方法</w:t>
      </w:r>
      <w:r>
        <w:rPr>
          <w:rFonts w:hint="eastAsia" w:ascii="宋体" w:hAnsi="Times New Roman" w:eastAsia="宋体" w:cs="Times New Roman"/>
          <w:color w:val="auto"/>
        </w:rPr>
        <w:t>执行</w:t>
      </w:r>
      <w:r>
        <w:rPr>
          <w:rFonts w:hint="eastAsia" w:hAnsi="Times New Roman" w:cs="Times New Roman"/>
          <w:color w:val="auto"/>
          <w:lang w:val="en-US" w:eastAsia="zh-CN"/>
        </w:rPr>
        <w:t>,</w:t>
      </w:r>
      <w:r>
        <w:rPr>
          <w:rFonts w:hint="eastAsia" w:ascii="宋体" w:hAnsi="Times New Roman" w:eastAsia="宋体" w:cs="Times New Roman"/>
          <w:color w:val="auto"/>
        </w:rPr>
        <w:t>摩擦次数</w:t>
      </w:r>
      <w:r>
        <w:rPr>
          <w:rFonts w:hint="eastAsia" w:hAnsi="Times New Roman" w:cs="Times New Roman"/>
          <w:color w:val="auto"/>
          <w:lang w:eastAsia="zh-CN"/>
        </w:rPr>
        <w:t>为</w:t>
      </w:r>
      <w:r>
        <w:rPr>
          <w:rFonts w:hint="eastAsia" w:ascii="宋体" w:hAnsi="Times New Roman" w:eastAsia="宋体" w:cs="Times New Roman"/>
          <w:color w:val="auto"/>
        </w:rPr>
        <w:t>2000次</w:t>
      </w:r>
      <w:r>
        <w:rPr>
          <w:rFonts w:hint="eastAsia" w:hAnsi="Times New Roman" w:cs="Times New Roman"/>
          <w:color w:val="auto"/>
          <w:lang w:eastAsia="zh-CN"/>
        </w:rPr>
        <w:t>，</w:t>
      </w:r>
      <w:r>
        <w:rPr>
          <w:rFonts w:hint="eastAsia" w:ascii="宋体" w:hAnsi="Times New Roman" w:eastAsia="宋体" w:cs="Times New Roman"/>
          <w:color w:val="auto"/>
        </w:rPr>
        <w:t>负荷</w:t>
      </w:r>
      <w:r>
        <w:rPr>
          <w:rFonts w:hint="eastAsia" w:hAnsi="Times New Roman" w:cs="Times New Roman"/>
          <w:color w:val="auto"/>
          <w:lang w:eastAsia="zh-CN"/>
        </w:rPr>
        <w:t>为</w:t>
      </w:r>
      <w:r>
        <w:rPr>
          <w:rFonts w:hint="eastAsia" w:ascii="宋体" w:hAnsi="Times New Roman" w:eastAsia="宋体" w:cs="Times New Roman"/>
          <w:color w:val="auto"/>
          <w:lang w:eastAsia="zh-CN"/>
        </w:rPr>
        <w:t>（</w:t>
      </w:r>
      <w:r>
        <w:rPr>
          <w:rFonts w:hint="eastAsia" w:ascii="宋体" w:hAnsi="Times New Roman" w:eastAsia="宋体" w:cs="Times New Roman"/>
          <w:color w:val="auto"/>
        </w:rPr>
        <w:t>415±2</w:t>
      </w:r>
      <w:r>
        <w:rPr>
          <w:rFonts w:hint="eastAsia" w:ascii="宋体" w:hAnsi="Times New Roman" w:eastAsia="宋体" w:cs="Times New Roman"/>
          <w:color w:val="auto"/>
          <w:lang w:eastAsia="zh-CN"/>
        </w:rPr>
        <w:t>）</w:t>
      </w:r>
      <w:r>
        <w:rPr>
          <w:rFonts w:hint="eastAsia" w:ascii="宋体" w:hAnsi="Times New Roman" w:eastAsia="宋体" w:cs="Times New Roman"/>
          <w:color w:val="auto"/>
        </w:rPr>
        <w:t>g，评定按GSB 16-3223</w:t>
      </w:r>
      <w:r>
        <w:rPr>
          <w:rFonts w:hint="eastAsia" w:hAnsi="Times New Roman" w:cs="Times New Roman"/>
          <w:color w:val="auto"/>
          <w:lang w:eastAsia="zh-CN"/>
        </w:rPr>
        <w:t>规定</w:t>
      </w:r>
      <w:r>
        <w:rPr>
          <w:rFonts w:hint="eastAsia" w:ascii="宋体" w:hAnsi="Times New Roman" w:eastAsia="宋体" w:cs="Times New Roman"/>
          <w:color w:val="auto"/>
          <w:lang w:eastAsia="zh-CN"/>
        </w:rPr>
        <w:t>执行</w:t>
      </w:r>
      <w:r>
        <w:rPr>
          <w:rFonts w:hint="eastAsia" w:ascii="宋体" w:hAnsi="Times New Roman" w:eastAsia="宋体" w:cs="Times New Roman"/>
          <w:color w:val="auto"/>
        </w:rPr>
        <w:t>。</w:t>
      </w:r>
    </w:p>
    <w:p>
      <w:pPr>
        <w:pStyle w:val="133"/>
        <w:widowControl/>
        <w:spacing w:before="0" w:after="0"/>
        <w:rPr>
          <w:rFonts w:hint="eastAsia" w:ascii="宋体" w:hAnsi="Times New Roman" w:eastAsia="宋体" w:cs="Times New Roman"/>
          <w:color w:val="auto"/>
        </w:rPr>
      </w:pPr>
      <w:bookmarkStart w:id="43" w:name="5.1.8　脱毛量按FZ/T 60029执行。"/>
      <w:bookmarkEnd w:id="43"/>
      <w:r>
        <w:rPr>
          <w:rFonts w:hint="eastAsia" w:ascii="宋体" w:hAnsi="Times New Roman" w:eastAsia="宋体" w:cs="Times New Roman"/>
          <w:color w:val="auto"/>
        </w:rPr>
        <w:t>脱毛量按 FZ/T 60029</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r>
        <w:rPr>
          <w:rFonts w:hint="eastAsia" w:ascii="宋体" w:hAnsi="Times New Roman" w:eastAsia="宋体" w:cs="Times New Roman"/>
          <w:color w:val="auto"/>
        </w:rPr>
        <w:t>面、里料水洗尺寸变化率按GB/T</w:t>
      </w:r>
      <w:r>
        <w:rPr>
          <w:rFonts w:hint="eastAsia" w:ascii="宋体" w:hAnsi="Times New Roman" w:eastAsia="宋体" w:cs="Times New Roman"/>
          <w:color w:val="auto"/>
          <w:lang w:val="en-US" w:eastAsia="zh-CN"/>
        </w:rPr>
        <w:t xml:space="preserve"> </w:t>
      </w:r>
      <w:r>
        <w:rPr>
          <w:rFonts w:hint="eastAsia" w:ascii="宋体" w:hAnsi="Times New Roman" w:eastAsia="宋体" w:cs="Times New Roman"/>
          <w:color w:val="auto"/>
        </w:rPr>
        <w:t>8628、GB/T 8629</w:t>
      </w:r>
      <w:r>
        <w:rPr>
          <w:rFonts w:hint="eastAsia" w:ascii="宋体" w:hAnsi="Times New Roman" w:eastAsia="宋体" w:cs="Times New Roman"/>
          <w:color w:val="auto"/>
          <w:lang w:eastAsia="zh-CN"/>
        </w:rPr>
        <w:t>—</w:t>
      </w:r>
      <w:r>
        <w:rPr>
          <w:rFonts w:hint="eastAsia" w:ascii="宋体" w:hAnsi="Times New Roman" w:eastAsia="宋体" w:cs="Times New Roman"/>
          <w:color w:val="auto"/>
        </w:rPr>
        <w:t>2017和GB/T 8630</w:t>
      </w:r>
      <w:r>
        <w:rPr>
          <w:rFonts w:hint="eastAsia"/>
          <w:color w:val="auto"/>
          <w:w w:val="95"/>
          <w:sz w:val="21"/>
          <w:lang w:eastAsia="zh-CN"/>
        </w:rPr>
        <w:t>规定的试验方法</w:t>
      </w:r>
      <w:r>
        <w:rPr>
          <w:rFonts w:hint="eastAsia" w:ascii="宋体" w:hAnsi="Times New Roman" w:eastAsia="宋体" w:cs="Times New Roman"/>
          <w:color w:val="auto"/>
        </w:rPr>
        <w:t>执行，机织织物采用4N程序，干燥方法A；针织织物釆用4G</w:t>
      </w:r>
      <w:r>
        <w:rPr>
          <w:rFonts w:hint="eastAsia" w:ascii="宋体" w:hAnsi="Times New Roman" w:eastAsia="宋体" w:cs="Times New Roman"/>
          <w:color w:val="auto"/>
          <w:lang w:eastAsia="zh-CN"/>
        </w:rPr>
        <w:t>，</w:t>
      </w:r>
      <w:r>
        <w:rPr>
          <w:rFonts w:hint="eastAsia" w:ascii="宋体" w:hAnsi="Times New Roman" w:eastAsia="宋体" w:cs="Times New Roman"/>
          <w:color w:val="auto"/>
        </w:rPr>
        <w:t>干燥程序C；100%桑蚕丝和含桑蚕丝30%及以上的交织或混纺面料采用4G洗涤程序，干燥方法A。干洗尺寸变化率按GB/T 19981.2 或 GB/T 19981.3</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44" w:name="5.1.10　耐光色牢度按GB/T 8427—2019方法3执行，晒至第二阶段。"/>
      <w:bookmarkEnd w:id="44"/>
      <w:r>
        <w:rPr>
          <w:rFonts w:hint="eastAsia" w:ascii="宋体" w:hAnsi="Times New Roman" w:eastAsia="宋体" w:cs="Times New Roman"/>
          <w:color w:val="auto"/>
        </w:rPr>
        <w:t>耐光色牢度按GB/T 8427—2019方法3</w:t>
      </w:r>
      <w:r>
        <w:rPr>
          <w:rFonts w:hint="eastAsia" w:hAnsi="Times New Roman" w:cs="Times New Roman"/>
          <w:color w:val="auto"/>
          <w:lang w:eastAsia="zh-CN"/>
        </w:rPr>
        <w:t>规定</w:t>
      </w:r>
      <w:r>
        <w:rPr>
          <w:rFonts w:hint="eastAsia" w:ascii="宋体" w:hAnsi="Times New Roman" w:eastAsia="宋体" w:cs="Times New Roman"/>
          <w:color w:val="auto"/>
        </w:rPr>
        <w:t>执行，晒至第二阶段。</w:t>
      </w:r>
    </w:p>
    <w:p>
      <w:pPr>
        <w:pStyle w:val="133"/>
        <w:widowControl/>
        <w:spacing w:before="0" w:after="0"/>
        <w:rPr>
          <w:rFonts w:hint="eastAsia" w:ascii="宋体" w:hAnsi="Times New Roman" w:eastAsia="宋体" w:cs="Times New Roman"/>
          <w:color w:val="auto"/>
        </w:rPr>
      </w:pPr>
      <w:bookmarkStart w:id="45" w:name="5.1.11　耐皂洗色牢度按GB/T 3921—2008试验C(3)执行。"/>
      <w:bookmarkEnd w:id="45"/>
      <w:r>
        <w:rPr>
          <w:rFonts w:hint="eastAsia" w:ascii="宋体" w:hAnsi="Times New Roman" w:eastAsia="宋体" w:cs="Times New Roman"/>
          <w:color w:val="auto"/>
        </w:rPr>
        <w:t>耐皂洗色牢度按GB/T 3921—2008试验 C(3)</w:t>
      </w:r>
      <w:r>
        <w:rPr>
          <w:rFonts w:hint="eastAsia" w:hAnsi="Times New Roman" w:cs="Times New Roman"/>
          <w:color w:val="auto"/>
          <w:lang w:eastAsia="zh-CN"/>
        </w:rPr>
        <w:t>规定</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46" w:name="5.1.12　耐干洗色牢度按GB/T 5711执行。"/>
      <w:bookmarkEnd w:id="46"/>
      <w:r>
        <w:rPr>
          <w:rFonts w:hint="eastAsia" w:ascii="宋体" w:hAnsi="Times New Roman" w:eastAsia="宋体" w:cs="Times New Roman"/>
          <w:color w:val="auto"/>
        </w:rPr>
        <w:t>耐干洗色牢度按GB/T 5711</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47" w:name="5.1.13　耐汗渍色牢度按GB/T 3922执行。"/>
      <w:bookmarkEnd w:id="47"/>
      <w:r>
        <w:rPr>
          <w:rFonts w:hint="eastAsia" w:ascii="宋体" w:hAnsi="Times New Roman" w:eastAsia="宋体" w:cs="Times New Roman"/>
          <w:color w:val="auto"/>
        </w:rPr>
        <w:t>耐汗渍色牢度按GB/T 3922</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48" w:name="5.1.14　耐摩擦色牢度按GB/T 3920执行。"/>
      <w:bookmarkEnd w:id="48"/>
      <w:r>
        <w:rPr>
          <w:rFonts w:hint="eastAsia" w:ascii="宋体" w:hAnsi="Times New Roman" w:eastAsia="宋体" w:cs="Times New Roman"/>
          <w:color w:val="auto"/>
        </w:rPr>
        <w:t>耐摩擦色牢度按GB/T 3920</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r>
        <w:rPr>
          <w:rFonts w:hint="eastAsia" w:ascii="黑体" w:hAnsi="黑体" w:eastAsia="黑体" w:cs="黑体"/>
          <w:color w:val="auto"/>
          <w:w w:val="95"/>
          <w:sz w:val="21"/>
        </w:rPr>
        <w:t>成品</w:t>
      </w:r>
      <w:r>
        <w:rPr>
          <w:rFonts w:hint="eastAsia" w:ascii="黑体" w:hAnsi="黑体" w:eastAsia="黑体" w:cs="黑体"/>
          <w:color w:val="auto"/>
          <w:w w:val="95"/>
          <w:sz w:val="21"/>
          <w:lang w:eastAsia="zh-CN"/>
        </w:rPr>
        <w:t>质量</w:t>
      </w:r>
    </w:p>
    <w:p>
      <w:pPr>
        <w:pStyle w:val="133"/>
        <w:widowControl/>
        <w:spacing w:before="0" w:after="0"/>
        <w:rPr>
          <w:rFonts w:hint="eastAsia" w:ascii="宋体" w:hAnsi="Times New Roman" w:eastAsia="宋体" w:cs="Times New Roman"/>
          <w:color w:val="auto"/>
        </w:rPr>
      </w:pPr>
      <w:bookmarkStart w:id="49" w:name="5.1.15　压缩回弹性能按GB/T 22796-2021 5.1.3执行。"/>
      <w:bookmarkEnd w:id="49"/>
      <w:r>
        <w:rPr>
          <w:rFonts w:hint="eastAsia" w:ascii="宋体" w:hAnsi="Times New Roman" w:eastAsia="宋体" w:cs="Times New Roman"/>
          <w:color w:val="auto"/>
        </w:rPr>
        <w:t>压缩回弹性能按GB/T 22796-2021</w:t>
      </w:r>
      <w:r>
        <w:rPr>
          <w:rFonts w:hint="eastAsia" w:ascii="宋体" w:hAnsi="Times New Roman" w:eastAsia="宋体" w:cs="Times New Roman"/>
          <w:color w:val="auto"/>
          <w:lang w:eastAsia="zh-CN"/>
        </w:rPr>
        <w:t>中</w:t>
      </w:r>
      <w:r>
        <w:rPr>
          <w:rFonts w:hint="eastAsia" w:ascii="宋体" w:hAnsi="Times New Roman" w:eastAsia="宋体" w:cs="Times New Roman"/>
          <w:color w:val="auto"/>
        </w:rPr>
        <w:t xml:space="preserve">5.1.3 </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0" w:name="5.1.16　金属残留物按GB/T 24121执行，采用台式或手持式金属检测仪，"/>
      <w:bookmarkEnd w:id="50"/>
      <w:r>
        <w:rPr>
          <w:rFonts w:hint="eastAsia" w:ascii="宋体" w:hAnsi="Times New Roman" w:eastAsia="宋体" w:cs="Times New Roman"/>
          <w:color w:val="auto"/>
        </w:rPr>
        <w:t>金属残留物按GB/T 24121</w:t>
      </w:r>
      <w:r>
        <w:rPr>
          <w:rFonts w:hint="eastAsia"/>
          <w:color w:val="auto"/>
          <w:w w:val="95"/>
          <w:sz w:val="21"/>
          <w:lang w:eastAsia="zh-CN"/>
        </w:rPr>
        <w:t>规定的试验方法</w:t>
      </w:r>
      <w:r>
        <w:rPr>
          <w:rFonts w:hint="eastAsia" w:ascii="宋体" w:hAnsi="Times New Roman" w:eastAsia="宋体" w:cs="Times New Roman"/>
          <w:color w:val="auto"/>
        </w:rPr>
        <w:t>执行，采用台式或手持式金属检测仪，检测灵敏度(标准铁球测试卡)为1.0 mm。</w:t>
      </w:r>
    </w:p>
    <w:p>
      <w:pPr>
        <w:pStyle w:val="133"/>
        <w:widowControl/>
        <w:spacing w:before="0" w:after="0"/>
        <w:rPr>
          <w:rFonts w:hint="eastAsia" w:ascii="宋体" w:hAnsi="Times New Roman" w:eastAsia="宋体" w:cs="Times New Roman"/>
          <w:color w:val="auto"/>
          <w:sz w:val="21"/>
          <w:szCs w:val="21"/>
        </w:rPr>
      </w:pPr>
      <w:r>
        <w:rPr>
          <w:rFonts w:hint="eastAsia" w:ascii="宋体" w:hAnsi="宋体" w:eastAsia="宋体" w:cs="宋体"/>
          <w:color w:val="auto"/>
          <w:spacing w:val="-3"/>
          <w:sz w:val="21"/>
          <w:szCs w:val="21"/>
          <w:lang w:val="en-US" w:eastAsia="zh-CN"/>
        </w:rPr>
        <w:t>缝线、钮扣、拉链等附件</w:t>
      </w:r>
      <w:r>
        <w:rPr>
          <w:rFonts w:hint="eastAsia" w:cs="宋体"/>
          <w:color w:val="auto"/>
          <w:spacing w:val="-3"/>
          <w:sz w:val="21"/>
          <w:szCs w:val="21"/>
          <w:lang w:val="en-US" w:eastAsia="zh-CN"/>
        </w:rPr>
        <w:t>按相关标准规定的试验方法执行。</w:t>
      </w:r>
    </w:p>
    <w:p>
      <w:pPr>
        <w:pStyle w:val="131"/>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color w:val="auto"/>
          <w:w w:val="95"/>
          <w:sz w:val="21"/>
        </w:rPr>
      </w:pPr>
      <w:r>
        <w:rPr>
          <w:rFonts w:hint="eastAsia" w:ascii="黑体" w:hAnsi="黑体" w:eastAsia="黑体" w:cs="黑体"/>
          <w:color w:val="auto"/>
          <w:w w:val="95"/>
          <w:sz w:val="21"/>
          <w:lang w:eastAsia="zh-CN"/>
        </w:rPr>
        <w:t>功能质量</w:t>
      </w:r>
    </w:p>
    <w:p>
      <w:pPr>
        <w:pStyle w:val="133"/>
        <w:widowControl/>
        <w:spacing w:before="0" w:after="0"/>
        <w:rPr>
          <w:rFonts w:hint="eastAsia" w:ascii="宋体" w:hAnsi="Times New Roman" w:eastAsia="宋体" w:cs="Times New Roman"/>
          <w:color w:val="auto"/>
        </w:rPr>
      </w:pPr>
      <w:bookmarkStart w:id="51" w:name="5.1.17　负离子发生量的检测按GB/T 30128执行。"/>
      <w:bookmarkEnd w:id="51"/>
      <w:r>
        <w:rPr>
          <w:rFonts w:hint="eastAsia" w:ascii="宋体" w:hAnsi="Times New Roman" w:eastAsia="宋体" w:cs="Times New Roman"/>
          <w:color w:val="auto"/>
        </w:rPr>
        <w:t>负离子发生量按GB/T 30128</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2" w:name="5.1.18　抗菌率的检测按GB/T 20944.3执行。"/>
      <w:bookmarkEnd w:id="52"/>
      <w:r>
        <w:rPr>
          <w:rFonts w:hint="eastAsia" w:ascii="宋体" w:hAnsi="Times New Roman" w:eastAsia="宋体" w:cs="Times New Roman"/>
          <w:color w:val="auto"/>
        </w:rPr>
        <w:t>抗菌率按GB/T 20944.3</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3" w:name="5.1.19　防螨性能的检测按GB/T 24253执行。"/>
      <w:bookmarkEnd w:id="53"/>
      <w:r>
        <w:rPr>
          <w:rFonts w:hint="eastAsia" w:ascii="宋体" w:hAnsi="Times New Roman" w:eastAsia="宋体" w:cs="Times New Roman"/>
          <w:color w:val="auto"/>
        </w:rPr>
        <w:t>防螨性能按GB/T 24253</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4" w:name="5.1.20　接触瞬间凉感性能按GB/T 35263执行。"/>
      <w:bookmarkEnd w:id="54"/>
      <w:r>
        <w:rPr>
          <w:rFonts w:hint="eastAsia" w:ascii="宋体" w:hAnsi="Times New Roman" w:eastAsia="宋体" w:cs="Times New Roman"/>
          <w:color w:val="auto"/>
        </w:rPr>
        <w:t>接触瞬间凉感性能按GB/T 35263</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5" w:name="5.1.21　吸湿发热升温性的测定按GB/T 29866执行。"/>
      <w:bookmarkEnd w:id="55"/>
      <w:r>
        <w:rPr>
          <w:rFonts w:hint="eastAsia" w:ascii="宋体" w:hAnsi="Times New Roman" w:eastAsia="宋体" w:cs="Times New Roman"/>
          <w:color w:val="auto"/>
        </w:rPr>
        <w:t>吸湿发热升温性按GB/T 29866</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hint="eastAsia" w:ascii="宋体" w:hAnsi="Times New Roman" w:eastAsia="宋体" w:cs="Times New Roman"/>
          <w:color w:val="auto"/>
        </w:rPr>
      </w:pPr>
      <w:bookmarkStart w:id="56" w:name="5.1.22　远红外性能的检测按GB/T 30127执行。"/>
      <w:bookmarkEnd w:id="56"/>
      <w:r>
        <w:rPr>
          <w:rFonts w:hint="eastAsia" w:ascii="宋体" w:hAnsi="Times New Roman" w:eastAsia="宋体" w:cs="Times New Roman"/>
          <w:color w:val="auto"/>
        </w:rPr>
        <w:t>远红外性能按GB/T 30127</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33"/>
        <w:widowControl/>
        <w:spacing w:before="0" w:after="0"/>
        <w:rPr>
          <w:rFonts w:ascii="黑体" w:eastAsia="黑体"/>
          <w:color w:val="auto"/>
          <w:sz w:val="21"/>
        </w:rPr>
      </w:pPr>
      <w:bookmarkStart w:id="57" w:name="5.1.23　消臭性能的检测按GB/T 33610.2执行。"/>
      <w:bookmarkEnd w:id="57"/>
      <w:r>
        <w:rPr>
          <w:rFonts w:hint="eastAsia" w:ascii="宋体" w:hAnsi="Times New Roman" w:eastAsia="宋体" w:cs="Times New Roman"/>
          <w:color w:val="auto"/>
        </w:rPr>
        <w:t>消臭性能按GB/T 33610.2</w:t>
      </w:r>
      <w:r>
        <w:rPr>
          <w:rFonts w:hint="eastAsia"/>
          <w:color w:val="auto"/>
          <w:w w:val="95"/>
          <w:sz w:val="21"/>
          <w:lang w:eastAsia="zh-CN"/>
        </w:rPr>
        <w:t>规定的试验方法</w:t>
      </w:r>
      <w:r>
        <w:rPr>
          <w:rFonts w:hint="eastAsia" w:ascii="宋体" w:hAnsi="Times New Roman" w:eastAsia="宋体" w:cs="Times New Roman"/>
          <w:color w:val="auto"/>
        </w:rPr>
        <w:t>执行。</w:t>
      </w:r>
    </w:p>
    <w:p>
      <w:pPr>
        <w:pStyle w:val="119"/>
        <w:spacing w:before="156" w:after="156"/>
        <w:rPr>
          <w:rFonts w:hint="eastAsia"/>
          <w:color w:val="auto"/>
          <w:spacing w:val="0"/>
          <w:w w:val="100"/>
          <w:position w:val="0"/>
          <w:sz w:val="21"/>
          <w:lang w:eastAsia="zh-CN"/>
        </w:rPr>
      </w:pPr>
      <w:bookmarkStart w:id="58" w:name="5.2  填充物品质、外观质量、工艺质量"/>
      <w:bookmarkEnd w:id="58"/>
      <w:r>
        <w:rPr>
          <w:rFonts w:hint="eastAsia"/>
          <w:color w:val="auto"/>
          <w:spacing w:val="0"/>
          <w:w w:val="100"/>
          <w:position w:val="0"/>
          <w:sz w:val="21"/>
          <w:lang w:eastAsia="zh-CN"/>
        </w:rPr>
        <w:t>外观质量、工艺质量</w:t>
      </w:r>
    </w:p>
    <w:p>
      <w:pPr>
        <w:pStyle w:val="131"/>
        <w:widowControl w:val="0"/>
        <w:rPr>
          <w:color w:val="auto"/>
          <w:spacing w:val="-1"/>
          <w:w w:val="95"/>
          <w:sz w:val="21"/>
        </w:rPr>
      </w:pPr>
      <w:bookmarkStart w:id="59" w:name="5.1.24　在自然北光或日光灯下进行，检验台表面照度不低于600 lx，且照度"/>
      <w:bookmarkEnd w:id="59"/>
      <w:r>
        <w:rPr>
          <w:color w:val="auto"/>
          <w:spacing w:val="-1"/>
          <w:w w:val="95"/>
          <w:sz w:val="21"/>
        </w:rPr>
        <w:t>在</w:t>
      </w:r>
      <w:bookmarkStart w:id="60" w:name="OLE_LINK1"/>
      <w:r>
        <w:rPr>
          <w:color w:val="auto"/>
          <w:spacing w:val="-1"/>
          <w:w w:val="95"/>
          <w:sz w:val="21"/>
        </w:rPr>
        <w:t>自然</w:t>
      </w:r>
      <w:r>
        <w:rPr>
          <w:rFonts w:hint="eastAsia"/>
          <w:color w:val="auto"/>
          <w:spacing w:val="-1"/>
          <w:w w:val="95"/>
          <w:sz w:val="21"/>
          <w:lang w:eastAsia="zh-CN"/>
        </w:rPr>
        <w:t>北</w:t>
      </w:r>
      <w:r>
        <w:rPr>
          <w:color w:val="auto"/>
          <w:spacing w:val="-1"/>
          <w:w w:val="95"/>
          <w:sz w:val="21"/>
        </w:rPr>
        <w:t>光</w:t>
      </w:r>
      <w:bookmarkEnd w:id="60"/>
      <w:r>
        <w:rPr>
          <w:color w:val="auto"/>
          <w:spacing w:val="-1"/>
          <w:w w:val="95"/>
          <w:sz w:val="21"/>
        </w:rPr>
        <w:t>或日光灯下进行，检验台表面照度不低于600 lx，且照度均匀，检验人员眼部距产品约</w:t>
      </w:r>
      <w:r>
        <w:rPr>
          <w:rFonts w:hint="eastAsia"/>
          <w:color w:val="auto"/>
          <w:spacing w:val="-1"/>
          <w:w w:val="95"/>
          <w:sz w:val="21"/>
          <w:lang w:val="en-US" w:eastAsia="zh-CN"/>
        </w:rPr>
        <w:t xml:space="preserve">    </w:t>
      </w:r>
      <w:r>
        <w:rPr>
          <w:color w:val="auto"/>
          <w:spacing w:val="-1"/>
          <w:w w:val="95"/>
          <w:sz w:val="21"/>
        </w:rPr>
        <w:t>60 cm，检验人员以目光、手感进行检验。</w:t>
      </w:r>
    </w:p>
    <w:p>
      <w:pPr>
        <w:pStyle w:val="131"/>
        <w:widowControl w:val="0"/>
        <w:rPr>
          <w:color w:val="auto"/>
          <w:spacing w:val="-1"/>
          <w:w w:val="95"/>
          <w:sz w:val="21"/>
        </w:rPr>
      </w:pPr>
      <w:bookmarkStart w:id="61" w:name="5.1.25　规格尺寸偏差率按GB/T 22796-2021 5.2.2执行。"/>
      <w:bookmarkEnd w:id="61"/>
      <w:r>
        <w:rPr>
          <w:color w:val="auto"/>
          <w:spacing w:val="-1"/>
          <w:w w:val="95"/>
          <w:sz w:val="21"/>
        </w:rPr>
        <w:t>规格尺寸偏差率按GB/T 22796</w:t>
      </w:r>
      <w:r>
        <w:rPr>
          <w:rFonts w:hint="eastAsia" w:hAnsi="宋体" w:cs="宋体"/>
          <w:color w:val="auto"/>
          <w:spacing w:val="-3"/>
          <w:sz w:val="18"/>
          <w:szCs w:val="18"/>
          <w:lang w:eastAsia="zh-CN"/>
        </w:rPr>
        <w:t>—</w:t>
      </w:r>
      <w:r>
        <w:rPr>
          <w:color w:val="auto"/>
          <w:spacing w:val="-1"/>
          <w:w w:val="95"/>
          <w:sz w:val="21"/>
        </w:rPr>
        <w:t>2021</w:t>
      </w:r>
      <w:r>
        <w:rPr>
          <w:rFonts w:hint="eastAsia"/>
          <w:color w:val="auto"/>
          <w:spacing w:val="-1"/>
          <w:w w:val="95"/>
          <w:sz w:val="21"/>
          <w:lang w:eastAsia="zh-CN"/>
        </w:rPr>
        <w:t>中</w:t>
      </w:r>
      <w:r>
        <w:rPr>
          <w:color w:val="auto"/>
          <w:spacing w:val="-1"/>
          <w:w w:val="95"/>
          <w:sz w:val="21"/>
        </w:rPr>
        <w:t>5.2.2</w:t>
      </w:r>
      <w:r>
        <w:rPr>
          <w:rFonts w:hint="eastAsia"/>
          <w:color w:val="auto"/>
          <w:w w:val="95"/>
          <w:sz w:val="21"/>
          <w:lang w:eastAsia="zh-CN"/>
        </w:rPr>
        <w:t>规定的试验方法</w:t>
      </w:r>
      <w:r>
        <w:rPr>
          <w:color w:val="auto"/>
          <w:spacing w:val="-1"/>
          <w:w w:val="95"/>
          <w:sz w:val="21"/>
        </w:rPr>
        <w:t>执行。</w:t>
      </w:r>
    </w:p>
    <w:p>
      <w:pPr>
        <w:pStyle w:val="131"/>
        <w:widowControl w:val="0"/>
        <w:rPr>
          <w:color w:val="auto"/>
          <w:spacing w:val="-1"/>
          <w:w w:val="95"/>
          <w:sz w:val="21"/>
        </w:rPr>
      </w:pPr>
      <w:bookmarkStart w:id="62" w:name="5.1.26　纬斜按GB/T 14801执行。"/>
      <w:bookmarkEnd w:id="62"/>
      <w:r>
        <w:rPr>
          <w:color w:val="auto"/>
          <w:spacing w:val="-1"/>
          <w:w w:val="95"/>
          <w:sz w:val="21"/>
        </w:rPr>
        <w:t>纬斜按GB/T 14801</w:t>
      </w:r>
      <w:r>
        <w:rPr>
          <w:rFonts w:hint="eastAsia"/>
          <w:color w:val="auto"/>
          <w:w w:val="95"/>
          <w:sz w:val="21"/>
          <w:lang w:eastAsia="zh-CN"/>
        </w:rPr>
        <w:t>规定的试验方法</w:t>
      </w:r>
      <w:r>
        <w:rPr>
          <w:color w:val="auto"/>
          <w:spacing w:val="-1"/>
          <w:w w:val="95"/>
          <w:sz w:val="21"/>
        </w:rPr>
        <w:t>执行。</w:t>
      </w:r>
    </w:p>
    <w:p>
      <w:pPr>
        <w:pStyle w:val="131"/>
        <w:widowControl w:val="0"/>
        <w:rPr>
          <w:color w:val="auto"/>
          <w:spacing w:val="-1"/>
          <w:w w:val="95"/>
          <w:sz w:val="21"/>
        </w:rPr>
      </w:pPr>
      <w:bookmarkStart w:id="63" w:name="5.1.27　色差、色花用GB/T 250评定变色用灰色样卡进行评定。"/>
      <w:bookmarkEnd w:id="63"/>
      <w:r>
        <w:rPr>
          <w:color w:val="auto"/>
          <w:spacing w:val="-1"/>
          <w:w w:val="95"/>
          <w:sz w:val="21"/>
        </w:rPr>
        <w:t>色差、色花用GB/T 250评定变色用灰色样卡进行评定。</w:t>
      </w:r>
    </w:p>
    <w:p>
      <w:pPr>
        <w:pStyle w:val="131"/>
        <w:widowControl w:val="0"/>
        <w:rPr>
          <w:color w:val="auto"/>
          <w:spacing w:val="-1"/>
          <w:w w:val="95"/>
          <w:sz w:val="21"/>
        </w:rPr>
      </w:pPr>
      <w:bookmarkStart w:id="64" w:name="5.1.28　填充物均匀程度以检验人员双手用力触摸产品进行。"/>
      <w:bookmarkEnd w:id="64"/>
      <w:r>
        <w:rPr>
          <w:color w:val="auto"/>
          <w:spacing w:val="-1"/>
          <w:w w:val="95"/>
          <w:sz w:val="21"/>
        </w:rPr>
        <w:t>填充物均匀程度以检验人员双手用力触摸产品进行。</w:t>
      </w:r>
    </w:p>
    <w:p>
      <w:pPr>
        <w:pStyle w:val="117"/>
        <w:spacing w:before="312" w:after="312"/>
        <w:rPr>
          <w:rFonts w:ascii="黑体" w:eastAsia="黑体"/>
          <w:color w:val="auto"/>
          <w:sz w:val="21"/>
        </w:rPr>
      </w:pPr>
      <w:bookmarkStart w:id="65" w:name="6　 检验规则"/>
      <w:bookmarkEnd w:id="65"/>
      <w:r>
        <w:rPr>
          <w:rFonts w:ascii="黑体" w:eastAsia="黑体"/>
          <w:color w:val="auto"/>
          <w:spacing w:val="-3"/>
          <w:w w:val="95"/>
          <w:sz w:val="21"/>
        </w:rPr>
        <w:t>检验规则</w:t>
      </w:r>
    </w:p>
    <w:p>
      <w:pPr>
        <w:pStyle w:val="119"/>
        <w:spacing w:before="156" w:after="156"/>
        <w:rPr>
          <w:rFonts w:ascii="黑体" w:eastAsia="黑体"/>
          <w:color w:val="auto"/>
          <w:sz w:val="21"/>
        </w:rPr>
      </w:pPr>
      <w:bookmarkStart w:id="66" w:name="6.1 判定规则"/>
      <w:bookmarkEnd w:id="66"/>
      <w:r>
        <w:rPr>
          <w:rFonts w:ascii="黑体" w:eastAsia="黑体"/>
          <w:color w:val="auto"/>
          <w:spacing w:val="-3"/>
          <w:w w:val="95"/>
          <w:sz w:val="21"/>
        </w:rPr>
        <w:t>判定规则</w:t>
      </w:r>
    </w:p>
    <w:p>
      <w:pPr>
        <w:pStyle w:val="131"/>
        <w:widowControl w:val="0"/>
        <w:numPr>
          <w:ilvl w:val="2"/>
          <w:numId w:val="0"/>
        </w:numPr>
        <w:ind w:leftChars="0" w:firstLine="394" w:firstLineChars="200"/>
        <w:rPr>
          <w:color w:val="auto"/>
          <w:spacing w:val="-1"/>
          <w:w w:val="95"/>
          <w:sz w:val="21"/>
        </w:rPr>
      </w:pPr>
      <w:bookmarkStart w:id="67" w:name="6.1.1　单件产品基本要求、内在质量、外观质量和工艺质量分别按最低一项评等,综"/>
      <w:bookmarkEnd w:id="67"/>
      <w:bookmarkStart w:id="68" w:name="6.1.3　抽样检验后，不合格数小于或等于Ac，则判检验批合格；不合格数大于或等"/>
      <w:bookmarkEnd w:id="68"/>
      <w:r>
        <w:rPr>
          <w:color w:val="auto"/>
          <w:spacing w:val="-1"/>
          <w:w w:val="95"/>
          <w:sz w:val="21"/>
        </w:rPr>
        <w:t>抽样检验后，不合格数小于或等于</w:t>
      </w:r>
      <w:r>
        <w:rPr>
          <w:i/>
          <w:iCs/>
          <w:color w:val="auto"/>
          <w:spacing w:val="-1"/>
          <w:w w:val="95"/>
          <w:sz w:val="21"/>
        </w:rPr>
        <w:t>A</w:t>
      </w:r>
      <w:r>
        <w:rPr>
          <w:color w:val="auto"/>
          <w:spacing w:val="-1"/>
          <w:w w:val="95"/>
          <w:sz w:val="21"/>
        </w:rPr>
        <w:t xml:space="preserve">c，则判检验批合格；不合格数大于或等于 </w:t>
      </w:r>
      <w:r>
        <w:rPr>
          <w:i/>
          <w:iCs/>
          <w:color w:val="auto"/>
          <w:spacing w:val="-1"/>
          <w:w w:val="95"/>
          <w:sz w:val="21"/>
        </w:rPr>
        <w:t>R</w:t>
      </w:r>
      <w:r>
        <w:rPr>
          <w:color w:val="auto"/>
          <w:spacing w:val="-1"/>
          <w:w w:val="95"/>
          <w:sz w:val="21"/>
        </w:rPr>
        <w:t>e，则判检验批不合格。</w:t>
      </w:r>
    </w:p>
    <w:p>
      <w:pPr>
        <w:pStyle w:val="119"/>
        <w:spacing w:before="156" w:after="156"/>
        <w:rPr>
          <w:rFonts w:ascii="黑体" w:eastAsia="黑体"/>
          <w:color w:val="auto"/>
          <w:sz w:val="21"/>
        </w:rPr>
      </w:pPr>
      <w:bookmarkStart w:id="69" w:name="6.2　抽样方案"/>
      <w:bookmarkEnd w:id="69"/>
      <w:r>
        <w:rPr>
          <w:rFonts w:ascii="黑体" w:eastAsia="黑体"/>
          <w:color w:val="auto"/>
          <w:spacing w:val="-3"/>
          <w:w w:val="95"/>
          <w:sz w:val="21"/>
        </w:rPr>
        <w:t>抽样方案</w:t>
      </w:r>
    </w:p>
    <w:p>
      <w:pPr>
        <w:pStyle w:val="131"/>
        <w:widowControl w:val="0"/>
        <w:rPr>
          <w:rFonts w:ascii="黑体" w:eastAsia="黑体"/>
          <w:color w:val="auto"/>
          <w:sz w:val="21"/>
        </w:rPr>
      </w:pPr>
      <w:bookmarkStart w:id="70" w:name="6.2.1　内在质量检验抽样方案见表7。"/>
      <w:bookmarkEnd w:id="70"/>
      <w:r>
        <w:rPr>
          <w:rFonts w:hint="eastAsia"/>
          <w:color w:val="auto"/>
          <w:w w:val="95"/>
          <w:sz w:val="21"/>
          <w:lang w:eastAsia="zh-CN"/>
        </w:rPr>
        <w:t>卫生安全、</w:t>
      </w:r>
      <w:r>
        <w:rPr>
          <w:color w:val="auto"/>
          <w:w w:val="95"/>
          <w:sz w:val="21"/>
        </w:rPr>
        <w:t>内在质量检验抽样方案见表</w:t>
      </w:r>
      <w:r>
        <w:rPr>
          <w:rFonts w:hint="eastAsia"/>
          <w:color w:val="auto"/>
          <w:w w:val="95"/>
          <w:sz w:val="21"/>
          <w:lang w:val="en-US" w:eastAsia="zh-CN"/>
        </w:rPr>
        <w:t>8</w:t>
      </w:r>
      <w:r>
        <w:rPr>
          <w:color w:val="auto"/>
          <w:spacing w:val="-10"/>
          <w:w w:val="95"/>
          <w:sz w:val="21"/>
        </w:rPr>
        <w:t>。</w:t>
      </w:r>
    </w:p>
    <w:p>
      <w:pPr>
        <w:pStyle w:val="208"/>
        <w:tabs>
          <w:tab w:val="left" w:pos="0"/>
        </w:tabs>
        <w:spacing w:before="156" w:after="156"/>
        <w:rPr>
          <w:rFonts w:ascii="黑体" w:hAnsi="黑体" w:eastAsia="黑体" w:cstheme="minorBidi"/>
          <w:color w:val="auto"/>
          <w:spacing w:val="-4"/>
          <w:sz w:val="21"/>
          <w:szCs w:val="20"/>
          <w:lang w:val="en-US" w:eastAsia="zh-CN" w:bidi="ar-SA"/>
        </w:rPr>
      </w:pPr>
      <w:bookmarkStart w:id="71" w:name="表7 内在质量检验抽样方案"/>
      <w:bookmarkEnd w:id="71"/>
      <w:r>
        <w:rPr>
          <w:rFonts w:hint="eastAsia" w:cstheme="minorBidi"/>
          <w:color w:val="auto"/>
          <w:spacing w:val="-4"/>
          <w:sz w:val="21"/>
          <w:szCs w:val="20"/>
          <w:lang w:val="en-US" w:eastAsia="zh-CN" w:bidi="ar-SA"/>
        </w:rPr>
        <w:t>卫生安全、</w:t>
      </w:r>
      <w:r>
        <w:rPr>
          <w:rFonts w:ascii="黑体" w:hAnsi="黑体" w:eastAsia="黑体" w:cstheme="minorBidi"/>
          <w:color w:val="auto"/>
          <w:spacing w:val="-4"/>
          <w:sz w:val="21"/>
          <w:szCs w:val="20"/>
          <w:lang w:val="en-US" w:eastAsia="zh-CN" w:bidi="ar-SA"/>
        </w:rPr>
        <w:t>内在质量检验抽样方案</w:t>
      </w:r>
    </w:p>
    <w:tbl>
      <w:tblPr>
        <w:tblStyle w:val="1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3"/>
        <w:gridCol w:w="2362"/>
        <w:gridCol w:w="2323"/>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批量范围 N</w:t>
            </w:r>
          </w:p>
        </w:tc>
        <w:tc>
          <w:tcPr>
            <w:tcW w:w="236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样本大小 n</w:t>
            </w:r>
          </w:p>
        </w:tc>
        <w:tc>
          <w:tcPr>
            <w:tcW w:w="232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合格判定数 Ac</w:t>
            </w:r>
          </w:p>
        </w:tc>
        <w:tc>
          <w:tcPr>
            <w:tcW w:w="288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不合格判定数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w:t>
            </w:r>
            <w:bookmarkStart w:id="72" w:name="OLE_LINK5"/>
            <w:r>
              <w:rPr>
                <w:rFonts w:hint="eastAsia" w:ascii="宋体" w:hAnsi="宋体" w:eastAsia="宋体" w:cs="宋体"/>
                <w:color w:val="auto"/>
                <w:spacing w:val="-3"/>
                <w:sz w:val="18"/>
                <w:szCs w:val="18"/>
                <w:lang w:val="en-US" w:eastAsia="zh-CN"/>
              </w:rPr>
              <w:t>〜</w:t>
            </w:r>
            <w:bookmarkEnd w:id="72"/>
            <w:r>
              <w:rPr>
                <w:rFonts w:hint="eastAsia" w:ascii="宋体" w:hAnsi="宋体" w:eastAsia="宋体" w:cs="宋体"/>
                <w:color w:val="auto"/>
                <w:spacing w:val="-3"/>
                <w:sz w:val="18"/>
                <w:szCs w:val="18"/>
                <w:lang w:val="en-US" w:eastAsia="zh-CN"/>
              </w:rPr>
              <w:t>1 200</w:t>
            </w:r>
          </w:p>
        </w:tc>
        <w:tc>
          <w:tcPr>
            <w:tcW w:w="236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w:t>
            </w:r>
          </w:p>
        </w:tc>
        <w:tc>
          <w:tcPr>
            <w:tcW w:w="232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0</w:t>
            </w:r>
          </w:p>
        </w:tc>
        <w:tc>
          <w:tcPr>
            <w:tcW w:w="288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1 201〜3 200</w:t>
            </w:r>
          </w:p>
        </w:tc>
        <w:tc>
          <w:tcPr>
            <w:tcW w:w="236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w:t>
            </w:r>
          </w:p>
        </w:tc>
        <w:tc>
          <w:tcPr>
            <w:tcW w:w="232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0</w:t>
            </w:r>
          </w:p>
        </w:tc>
        <w:tc>
          <w:tcPr>
            <w:tcW w:w="288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3 201〜10 000</w:t>
            </w:r>
          </w:p>
        </w:tc>
        <w:tc>
          <w:tcPr>
            <w:tcW w:w="236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5</w:t>
            </w:r>
          </w:p>
        </w:tc>
        <w:tc>
          <w:tcPr>
            <w:tcW w:w="232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0</w:t>
            </w:r>
          </w:p>
        </w:tc>
        <w:tc>
          <w:tcPr>
            <w:tcW w:w="288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＞10 000</w:t>
            </w:r>
          </w:p>
        </w:tc>
        <w:tc>
          <w:tcPr>
            <w:tcW w:w="236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8</w:t>
            </w:r>
          </w:p>
        </w:tc>
        <w:tc>
          <w:tcPr>
            <w:tcW w:w="232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0</w:t>
            </w:r>
          </w:p>
        </w:tc>
        <w:tc>
          <w:tcPr>
            <w:tcW w:w="2889"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r>
    </w:tbl>
    <w:p>
      <w:pPr>
        <w:pStyle w:val="131"/>
        <w:widowControl w:val="0"/>
        <w:rPr>
          <w:rFonts w:ascii="黑体" w:eastAsia="黑体"/>
          <w:color w:val="auto"/>
          <w:sz w:val="21"/>
        </w:rPr>
      </w:pPr>
      <w:r>
        <w:rPr>
          <w:color w:val="auto"/>
          <w:w w:val="95"/>
          <w:sz w:val="21"/>
        </w:rPr>
        <w:t>外观质最、工艺质量检验抽样方案见表</w:t>
      </w:r>
      <w:r>
        <w:rPr>
          <w:rFonts w:hint="eastAsia"/>
          <w:color w:val="auto"/>
          <w:w w:val="95"/>
          <w:sz w:val="21"/>
          <w:lang w:val="en-US" w:eastAsia="zh-CN"/>
        </w:rPr>
        <w:t>9</w:t>
      </w:r>
      <w:r>
        <w:rPr>
          <w:color w:val="auto"/>
          <w:spacing w:val="-10"/>
          <w:w w:val="95"/>
          <w:sz w:val="21"/>
        </w:rPr>
        <w:t>。</w:t>
      </w:r>
    </w:p>
    <w:p>
      <w:pPr>
        <w:pStyle w:val="208"/>
        <w:tabs>
          <w:tab w:val="left" w:pos="0"/>
        </w:tabs>
        <w:spacing w:before="156" w:after="156"/>
        <w:rPr>
          <w:rFonts w:ascii="黑体" w:eastAsia="黑体"/>
          <w:color w:val="auto"/>
        </w:rPr>
      </w:pPr>
      <w:bookmarkStart w:id="73" w:name="表8 外观质量、工艺质量检验抽样方案"/>
      <w:bookmarkEnd w:id="73"/>
      <w:r>
        <w:rPr>
          <w:rFonts w:ascii="黑体" w:eastAsia="黑体"/>
          <w:color w:val="auto"/>
          <w:spacing w:val="-1"/>
        </w:rPr>
        <w:t>外观质量、工艺质量检验抽样方案</w:t>
      </w:r>
    </w:p>
    <w:tbl>
      <w:tblPr>
        <w:tblStyle w:val="18"/>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063"/>
        <w:gridCol w:w="2220"/>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批量范围 N</w:t>
            </w:r>
          </w:p>
        </w:tc>
        <w:tc>
          <w:tcPr>
            <w:tcW w:w="206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样本大小 n</w:t>
            </w:r>
          </w:p>
        </w:tc>
        <w:tc>
          <w:tcPr>
            <w:tcW w:w="2220"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合格判定数 Ac</w:t>
            </w:r>
          </w:p>
        </w:tc>
        <w:tc>
          <w:tcPr>
            <w:tcW w:w="287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不合格判定数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20</w:t>
            </w:r>
            <w:bookmarkStart w:id="74" w:name="OLE_LINK6"/>
            <w:r>
              <w:rPr>
                <w:rFonts w:hint="eastAsia" w:ascii="宋体" w:hAnsi="宋体" w:eastAsia="宋体" w:cs="宋体"/>
                <w:color w:val="auto"/>
                <w:spacing w:val="-3"/>
                <w:sz w:val="18"/>
                <w:szCs w:val="18"/>
                <w:lang w:val="en-US" w:eastAsia="zh-CN"/>
              </w:rPr>
              <w:t>〜</w:t>
            </w:r>
            <w:bookmarkEnd w:id="74"/>
            <w:r>
              <w:rPr>
                <w:rFonts w:hint="eastAsia" w:ascii="宋体" w:hAnsi="宋体" w:eastAsia="宋体" w:cs="宋体"/>
                <w:color w:val="auto"/>
                <w:spacing w:val="-3"/>
                <w:sz w:val="18"/>
                <w:szCs w:val="18"/>
                <w:lang w:val="en-US" w:eastAsia="zh-CN"/>
              </w:rPr>
              <w:t>1 200</w:t>
            </w:r>
          </w:p>
        </w:tc>
        <w:tc>
          <w:tcPr>
            <w:tcW w:w="206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20</w:t>
            </w:r>
          </w:p>
        </w:tc>
        <w:tc>
          <w:tcPr>
            <w:tcW w:w="2220"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w:t>
            </w:r>
          </w:p>
        </w:tc>
        <w:tc>
          <w:tcPr>
            <w:tcW w:w="287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1 201〜10 000</w:t>
            </w:r>
          </w:p>
        </w:tc>
        <w:tc>
          <w:tcPr>
            <w:tcW w:w="206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32</w:t>
            </w:r>
          </w:p>
        </w:tc>
        <w:tc>
          <w:tcPr>
            <w:tcW w:w="2220"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w:t>
            </w:r>
          </w:p>
        </w:tc>
        <w:tc>
          <w:tcPr>
            <w:tcW w:w="287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10 001〜35 000</w:t>
            </w:r>
          </w:p>
        </w:tc>
        <w:tc>
          <w:tcPr>
            <w:tcW w:w="206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50</w:t>
            </w:r>
          </w:p>
        </w:tc>
        <w:tc>
          <w:tcPr>
            <w:tcW w:w="2220"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5</w:t>
            </w:r>
          </w:p>
        </w:tc>
        <w:tc>
          <w:tcPr>
            <w:tcW w:w="287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＞35 000</w:t>
            </w:r>
          </w:p>
        </w:tc>
        <w:tc>
          <w:tcPr>
            <w:tcW w:w="2063"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80</w:t>
            </w:r>
          </w:p>
        </w:tc>
        <w:tc>
          <w:tcPr>
            <w:tcW w:w="2220"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10</w:t>
            </w:r>
          </w:p>
        </w:tc>
        <w:tc>
          <w:tcPr>
            <w:tcW w:w="2872" w:type="dxa"/>
            <w:vAlign w:val="top"/>
          </w:tcPr>
          <w:p>
            <w:pPr>
              <w:pStyle w:val="259"/>
              <w:keepNext w:val="0"/>
              <w:keepLines w:val="0"/>
              <w:pageBreakBefore w:val="0"/>
              <w:widowControl w:val="0"/>
              <w:numPr>
                <w:ilvl w:val="0"/>
                <w:numId w:val="0"/>
              </w:numPr>
              <w:tabs>
                <w:tab w:val="left" w:pos="850"/>
              </w:tabs>
              <w:kinsoku/>
              <w:wordWrap/>
              <w:overflowPunct/>
              <w:topLinePunct w:val="0"/>
              <w:autoSpaceDE/>
              <w:autoSpaceDN/>
              <w:bidi w:val="0"/>
              <w:adjustRightInd/>
              <w:snapToGrid/>
              <w:spacing w:before="0" w:line="240" w:lineRule="auto"/>
              <w:ind w:right="-5" w:rightChars="0"/>
              <w:jc w:val="center"/>
              <w:textAlignment w:val="auto"/>
              <w:rPr>
                <w:rFonts w:hint="eastAsia" w:ascii="宋体" w:hAnsi="宋体" w:eastAsia="宋体" w:cs="宋体"/>
                <w:color w:val="auto"/>
                <w:spacing w:val="-3"/>
                <w:sz w:val="18"/>
                <w:szCs w:val="18"/>
                <w:lang w:val="en-US" w:eastAsia="zh-CN"/>
              </w:rPr>
            </w:pPr>
            <w:r>
              <w:rPr>
                <w:rFonts w:hint="eastAsia" w:ascii="宋体" w:hAnsi="宋体" w:eastAsia="宋体" w:cs="宋体"/>
                <w:color w:val="auto"/>
                <w:spacing w:val="-3"/>
                <w:sz w:val="18"/>
                <w:szCs w:val="18"/>
                <w:lang w:val="en-US" w:eastAsia="zh-CN"/>
              </w:rPr>
              <w:t>11</w:t>
            </w:r>
          </w:p>
        </w:tc>
      </w:tr>
    </w:tbl>
    <w:p>
      <w:pPr>
        <w:pStyle w:val="131"/>
        <w:widowControl w:val="0"/>
        <w:rPr>
          <w:color w:val="auto"/>
          <w:w w:val="95"/>
          <w:sz w:val="21"/>
        </w:rPr>
      </w:pPr>
      <w:bookmarkStart w:id="75" w:name="6.2.3　检验样本应从检验批中随机抽取，外包装应完整。"/>
      <w:bookmarkEnd w:id="75"/>
      <w:r>
        <w:rPr>
          <w:color w:val="auto"/>
          <w:w w:val="95"/>
          <w:sz w:val="21"/>
        </w:rPr>
        <w:t>检验样本应从检验批中随机抽取，外包装应完整。</w:t>
      </w:r>
    </w:p>
    <w:p>
      <w:pPr>
        <w:pStyle w:val="131"/>
        <w:widowControl w:val="0"/>
        <w:rPr>
          <w:color w:val="auto"/>
          <w:w w:val="95"/>
          <w:sz w:val="21"/>
        </w:rPr>
      </w:pPr>
      <w:bookmarkStart w:id="76" w:name="6.2.4　实施抽样时，当样本大小n大于批量N时，实施全检，合格判定数Ac为0。"/>
      <w:bookmarkEnd w:id="76"/>
      <w:r>
        <w:rPr>
          <w:color w:val="auto"/>
          <w:w w:val="95"/>
          <w:sz w:val="21"/>
        </w:rPr>
        <w:t>实施抽样时，当样本大小</w:t>
      </w:r>
      <w:r>
        <w:rPr>
          <w:i/>
          <w:iCs/>
          <w:color w:val="auto"/>
          <w:w w:val="95"/>
          <w:sz w:val="21"/>
        </w:rPr>
        <w:t>n</w:t>
      </w:r>
      <w:r>
        <w:rPr>
          <w:color w:val="auto"/>
          <w:w w:val="95"/>
          <w:sz w:val="21"/>
        </w:rPr>
        <w:t>大于批量</w:t>
      </w:r>
      <w:r>
        <w:rPr>
          <w:i/>
          <w:iCs/>
          <w:color w:val="auto"/>
          <w:w w:val="95"/>
          <w:sz w:val="21"/>
        </w:rPr>
        <w:t>N</w:t>
      </w:r>
      <w:r>
        <w:rPr>
          <w:color w:val="auto"/>
          <w:w w:val="95"/>
          <w:sz w:val="21"/>
        </w:rPr>
        <w:t>时，实施全检，合格判定数</w:t>
      </w:r>
      <w:r>
        <w:rPr>
          <w:i/>
          <w:iCs/>
          <w:color w:val="auto"/>
          <w:w w:val="95"/>
          <w:sz w:val="21"/>
        </w:rPr>
        <w:t>A</w:t>
      </w:r>
      <w:r>
        <w:rPr>
          <w:color w:val="auto"/>
          <w:w w:val="95"/>
          <w:sz w:val="21"/>
        </w:rPr>
        <w:t>c为 0。</w:t>
      </w:r>
    </w:p>
    <w:p>
      <w:pPr>
        <w:pStyle w:val="131"/>
        <w:widowControl w:val="0"/>
        <w:rPr>
          <w:rFonts w:ascii="黑体" w:eastAsia="黑体"/>
          <w:color w:val="auto"/>
          <w:sz w:val="21"/>
        </w:rPr>
      </w:pPr>
      <w:bookmarkStart w:id="77" w:name="6.2.5　抽样方案另有规定和合同协议的，按有关规定和合同协议执行。"/>
      <w:bookmarkEnd w:id="77"/>
      <w:r>
        <w:rPr>
          <w:color w:val="auto"/>
          <w:w w:val="95"/>
          <w:sz w:val="21"/>
        </w:rPr>
        <w:t>抽样方案另有规定和合同协议的，按有关规定和合同协议执行</w:t>
      </w:r>
      <w:r>
        <w:rPr>
          <w:color w:val="auto"/>
          <w:spacing w:val="-10"/>
          <w:w w:val="95"/>
          <w:sz w:val="21"/>
        </w:rPr>
        <w:t>。</w:t>
      </w:r>
    </w:p>
    <w:p>
      <w:pPr>
        <w:pStyle w:val="117"/>
        <w:spacing w:before="312" w:after="312"/>
        <w:rPr>
          <w:rFonts w:ascii="黑体" w:eastAsia="黑体"/>
          <w:color w:val="auto"/>
          <w:sz w:val="21"/>
        </w:rPr>
      </w:pPr>
      <w:bookmarkStart w:id="78" w:name="7　标志、包裝、运输和贮存"/>
      <w:bookmarkEnd w:id="78"/>
      <w:r>
        <w:rPr>
          <w:rFonts w:ascii="黑体" w:eastAsia="黑体"/>
          <w:color w:val="auto"/>
          <w:spacing w:val="-1"/>
          <w:w w:val="95"/>
          <w:sz w:val="21"/>
        </w:rPr>
        <w:t>标志、包裝、运输和贮存</w:t>
      </w:r>
    </w:p>
    <w:p>
      <w:pPr>
        <w:pStyle w:val="119"/>
        <w:spacing w:before="156" w:after="156"/>
        <w:rPr>
          <w:rFonts w:hint="default" w:eastAsia="黑体"/>
          <w:color w:val="auto"/>
          <w:lang w:val="en-US" w:eastAsia="zh-CN"/>
        </w:rPr>
      </w:pPr>
      <w:r>
        <w:rPr>
          <w:rFonts w:hint="eastAsia" w:eastAsia="黑体"/>
          <w:color w:val="auto"/>
          <w:lang w:val="en-US" w:eastAsia="zh-CN"/>
        </w:rPr>
        <w:t xml:space="preserve">标志 </w:t>
      </w:r>
    </w:p>
    <w:p>
      <w:pPr>
        <w:pStyle w:val="131"/>
        <w:widowControl w:val="0"/>
        <w:rPr>
          <w:rFonts w:hint="eastAsia"/>
          <w:color w:val="auto"/>
          <w:w w:val="95"/>
          <w:sz w:val="21"/>
          <w:lang w:eastAsia="zh-CN"/>
        </w:rPr>
      </w:pPr>
      <w:bookmarkStart w:id="79" w:name="7.1　产品使用说明应符合GB/T 5296.4和GB 18401规定,儿童产品"/>
      <w:bookmarkEnd w:id="79"/>
      <w:r>
        <w:rPr>
          <w:rFonts w:hint="eastAsia"/>
          <w:color w:val="auto"/>
          <w:w w:val="95"/>
          <w:sz w:val="21"/>
          <w:lang w:eastAsia="zh-CN"/>
        </w:rPr>
        <w:t>产品使用说明应符合GB/T 5296.4和GB 18401规定,儿童产品使用说明还应符合GB 31701规定。如有需要，还可包括其他内容。</w:t>
      </w:r>
    </w:p>
    <w:p>
      <w:pPr>
        <w:pStyle w:val="131"/>
        <w:widowControl w:val="0"/>
        <w:rPr>
          <w:rFonts w:ascii="黑体"/>
          <w:color w:val="auto"/>
          <w:sz w:val="28"/>
        </w:rPr>
      </w:pPr>
      <w:bookmarkStart w:id="80" w:name="7.2　纤维含量标注应按GB/T 29862执行，其中羽绒/混合羽绒/复合羽绒填"/>
      <w:bookmarkEnd w:id="80"/>
      <w:r>
        <w:rPr>
          <w:rFonts w:hint="eastAsia"/>
          <w:color w:val="auto"/>
          <w:w w:val="95"/>
          <w:sz w:val="21"/>
          <w:lang w:eastAsia="zh-CN"/>
        </w:rPr>
        <w:t>纤维含量标注应按GB/T 29862执行，其中羽绒/混合羽绒/复合羽绒填充物应标注羽绒种类、绒子含量、填充量，絮用纤维类填充物应标注填充物种类并明示各成分比列。PE 软管、聚氨酯材料、乳胶/乳胶颗粒应标注材质名称。</w:t>
      </w:r>
    </w:p>
    <w:p>
      <w:pPr>
        <w:pStyle w:val="131"/>
        <w:widowControl w:val="0"/>
        <w:rPr>
          <w:rFonts w:hint="eastAsia" w:ascii="宋体" w:hAnsi="宋体" w:eastAsia="宋体" w:cs="宋体"/>
          <w:color w:val="auto"/>
          <w:spacing w:val="0"/>
          <w:w w:val="100"/>
          <w:position w:val="0"/>
          <w:sz w:val="21"/>
          <w:lang w:eastAsia="zh-CN"/>
        </w:rPr>
      </w:pPr>
      <w:bookmarkStart w:id="81" w:name="7.3　产品规格标注内容应包括成品宽度、长度，含填充物的产品还应标注填充物质量，"/>
      <w:bookmarkEnd w:id="81"/>
      <w:r>
        <w:rPr>
          <w:rFonts w:hint="eastAsia" w:ascii="宋体" w:hAnsi="宋体" w:eastAsia="宋体" w:cs="宋体"/>
          <w:color w:val="auto"/>
          <w:spacing w:val="0"/>
          <w:w w:val="100"/>
          <w:position w:val="0"/>
          <w:sz w:val="21"/>
          <w:lang w:eastAsia="zh-CN"/>
        </w:rPr>
        <w:t>产品规格标注内容应包括成品宽度、长度，含填充物的产品还应标注填充物质量，其中PE软管、聚氨酯材料、乳胶/乳胶颗粒可不标注填充物质量，枕/枕芯、坐垫、靠垫产品可不标填充物质量，异形产品可不标规格尺寸，必要时可标注最大尺寸。</w:t>
      </w:r>
    </w:p>
    <w:p>
      <w:pPr>
        <w:pStyle w:val="119"/>
        <w:spacing w:before="156" w:after="156"/>
        <w:rPr>
          <w:rFonts w:hint="eastAsia" w:ascii="宋体" w:hAnsi="宋体" w:eastAsia="宋体" w:cs="宋体"/>
          <w:color w:val="auto"/>
          <w:spacing w:val="0"/>
          <w:w w:val="100"/>
          <w:position w:val="0"/>
          <w:sz w:val="21"/>
          <w:lang w:eastAsia="zh-CN"/>
        </w:rPr>
      </w:pPr>
      <w:r>
        <w:rPr>
          <w:rFonts w:hint="eastAsia" w:cs="宋体"/>
          <w:color w:val="auto"/>
          <w:spacing w:val="0"/>
          <w:w w:val="100"/>
          <w:position w:val="0"/>
          <w:sz w:val="21"/>
          <w:lang w:eastAsia="zh-CN"/>
        </w:rPr>
        <w:t>包装</w:t>
      </w:r>
    </w:p>
    <w:p>
      <w:pPr>
        <w:pStyle w:val="119"/>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ascii="宋体" w:hAnsi="宋体" w:eastAsia="宋体" w:cs="宋体"/>
          <w:color w:val="auto"/>
          <w:spacing w:val="0"/>
          <w:w w:val="100"/>
          <w:position w:val="0"/>
          <w:sz w:val="21"/>
          <w:lang w:eastAsia="zh-CN"/>
        </w:rPr>
      </w:pPr>
      <w:bookmarkStart w:id="82" w:name="7.4　每件/套产品应有包装，包装大小根据具体产品而定。包装材料选择适当，应保证"/>
      <w:bookmarkEnd w:id="82"/>
      <w:r>
        <w:rPr>
          <w:rFonts w:hint="eastAsia" w:ascii="宋体" w:hAnsi="宋体" w:eastAsia="宋体" w:cs="宋体"/>
          <w:color w:val="auto"/>
          <w:spacing w:val="0"/>
          <w:w w:val="100"/>
          <w:position w:val="0"/>
          <w:sz w:val="21"/>
          <w:lang w:eastAsia="zh-CN"/>
        </w:rPr>
        <w:t>每件/套产品应有包装，包装大小根据具体产品而定。包装材料选择适当，应保证不散落、不破损、不沾污、不受潮。</w:t>
      </w:r>
    </w:p>
    <w:p>
      <w:pPr>
        <w:pStyle w:val="119"/>
        <w:spacing w:before="156" w:after="156"/>
        <w:rPr>
          <w:rFonts w:hint="eastAsia" w:eastAsia="黑体"/>
          <w:color w:val="auto"/>
          <w:lang w:val="en-US" w:eastAsia="zh-CN"/>
        </w:rPr>
      </w:pPr>
      <w:bookmarkStart w:id="83" w:name="7.5　产品运输应防潮、防火、防污染。"/>
      <w:bookmarkEnd w:id="83"/>
      <w:r>
        <w:rPr>
          <w:rFonts w:hint="eastAsia" w:eastAsia="黑体"/>
          <w:color w:val="auto"/>
          <w:lang w:val="en-US" w:eastAsia="zh-CN"/>
        </w:rPr>
        <w:t>运输</w:t>
      </w:r>
    </w:p>
    <w:p>
      <w:pPr>
        <w:pStyle w:val="119"/>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ascii="宋体" w:hAnsi="宋体" w:eastAsia="宋体" w:cs="宋体"/>
          <w:color w:val="auto"/>
          <w:spacing w:val="0"/>
          <w:w w:val="100"/>
          <w:position w:val="0"/>
          <w:sz w:val="21"/>
          <w:lang w:eastAsia="zh-CN"/>
        </w:rPr>
      </w:pPr>
      <w:r>
        <w:rPr>
          <w:rFonts w:hint="eastAsia" w:ascii="宋体" w:hAnsi="宋体" w:eastAsia="宋体" w:cs="宋体"/>
          <w:color w:val="auto"/>
          <w:spacing w:val="0"/>
          <w:w w:val="100"/>
          <w:position w:val="0"/>
          <w:sz w:val="21"/>
          <w:lang w:eastAsia="zh-CN"/>
        </w:rPr>
        <w:t>产品运输应防潮、防火、防污染。</w:t>
      </w:r>
    </w:p>
    <w:p>
      <w:pPr>
        <w:pStyle w:val="119"/>
        <w:spacing w:before="156" w:after="156"/>
        <w:rPr>
          <w:rFonts w:hint="eastAsia" w:eastAsia="黑体"/>
          <w:color w:val="auto"/>
          <w:lang w:val="en-US" w:eastAsia="zh-CN"/>
        </w:rPr>
      </w:pPr>
      <w:bookmarkStart w:id="84" w:name="7.6　产品应放在阴凉、通风、干燥、清洁库房内，并防蛀、防霉。"/>
      <w:bookmarkEnd w:id="84"/>
      <w:r>
        <w:rPr>
          <w:rFonts w:hint="eastAsia" w:eastAsia="黑体"/>
          <w:color w:val="auto"/>
          <w:lang w:val="en-US" w:eastAsia="zh-CN"/>
        </w:rPr>
        <w:t>贮存</w:t>
      </w:r>
    </w:p>
    <w:p>
      <w:pPr>
        <w:pStyle w:val="119"/>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ascii="宋体" w:hAnsi="宋体" w:eastAsia="宋体" w:cs="宋体"/>
          <w:color w:val="auto"/>
          <w:highlight w:val="none"/>
        </w:rPr>
      </w:pPr>
      <w:r>
        <w:rPr>
          <w:rFonts w:hint="eastAsia" w:ascii="宋体" w:hAnsi="宋体" w:eastAsia="宋体" w:cs="宋体"/>
          <w:color w:val="auto"/>
          <w:spacing w:val="0"/>
          <w:w w:val="100"/>
          <w:position w:val="0"/>
          <w:sz w:val="21"/>
          <w:lang w:eastAsia="zh-CN"/>
        </w:rPr>
        <w:t>产品应放在阴凉、通风、干燥、清洁库房内，并防蛀、防霉。</w:t>
      </w:r>
      <w:bookmarkEnd w:id="6"/>
      <w:r>
        <w:rPr>
          <w:color w:val="auto"/>
          <w:highlight w:val="none"/>
        </w:rPr>
        <mc:AlternateContent>
          <mc:Choice Requires="wps">
            <w:drawing>
              <wp:anchor distT="0" distB="0" distL="0" distR="0" simplePos="0" relativeHeight="251659264" behindDoc="0" locked="0" layoutInCell="0" allowOverlap="1">
                <wp:simplePos x="0" y="0"/>
                <wp:positionH relativeFrom="page">
                  <wp:posOffset>3048635</wp:posOffset>
                </wp:positionH>
                <wp:positionV relativeFrom="paragraph">
                  <wp:posOffset>494665</wp:posOffset>
                </wp:positionV>
                <wp:extent cx="1464945" cy="12700"/>
                <wp:effectExtent l="0" t="0" r="0" b="0"/>
                <wp:wrapTopAndBottom/>
                <wp:docPr id="5" name="Freeform 10"/>
                <wp:cNvGraphicFramePr/>
                <a:graphic xmlns:a="http://schemas.openxmlformats.org/drawingml/2006/main">
                  <a:graphicData uri="http://schemas.microsoft.com/office/word/2010/wordprocessingShape">
                    <wps:wsp>
                      <wps:cNvSpPr/>
                      <wps:spPr bwMode="auto">
                        <a:xfrm>
                          <a:off x="0" y="0"/>
                          <a:ext cx="1464945" cy="12700"/>
                        </a:xfrm>
                        <a:custGeom>
                          <a:avLst/>
                          <a:gdLst>
                            <a:gd name="T0" fmla="*/ 0 w 2307"/>
                            <a:gd name="T1" fmla="*/ 0 h 20"/>
                            <a:gd name="T2" fmla="*/ 2307 w 2307"/>
                            <a:gd name="T3" fmla="*/ 0 h 20"/>
                          </a:gdLst>
                          <a:ahLst/>
                          <a:cxnLst>
                            <a:cxn ang="0">
                              <a:pos x="T0" y="T1"/>
                            </a:cxn>
                            <a:cxn ang="0">
                              <a:pos x="T2" y="T3"/>
                            </a:cxn>
                          </a:cxnLst>
                          <a:rect l="0" t="0" r="r" b="b"/>
                          <a:pathLst>
                            <a:path w="2307" h="20">
                              <a:moveTo>
                                <a:pt x="0" y="0"/>
                              </a:moveTo>
                              <a:lnTo>
                                <a:pt x="2307" y="0"/>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10" o:spid="_x0000_s1026" o:spt="100" style="position:absolute;left:0pt;margin-left:240.05pt;margin-top:38.95pt;height:1pt;width:115.35pt;mso-position-horizontal-relative:page;mso-wrap-distance-bottom:0pt;mso-wrap-distance-top:0pt;z-index:251659264;mso-width-relative:page;mso-height-relative:page;" filled="f" stroked="t" coordsize="2307,20" o:allowincell="f" o:gfxdata="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LfEVTjZAAAACQEAAA8AAAAAAAAAAQAgAAAAIgAAAGRycy9kb3ducmV2LnhtbFBLAQIUABQA&#10;AAAIAIdO4kCYZCTYmgIAAMMFAAAOAAAAAAAAAAEAIAAAACgBAABkcnMvZTJvRG9jLnhtbFBLBQYA&#10;AAAABgAGAFkBAAA0BgAAAAA=&#10;" path="m0,0l2307,0e">
                <v:path o:connectlocs="0,0;1464945,0" o:connectangles="0,0"/>
                <v:fill on="f" focussize="0,0"/>
                <v:stroke weight="1.25pt" color="#000000" joinstyle="round"/>
                <v:imagedata o:title=""/>
                <o:lock v:ext="edit" aspectratio="f"/>
                <w10:wrap type="topAndBottom"/>
              </v:shape>
            </w:pict>
          </mc:Fallback>
        </mc:AlternateContent>
      </w:r>
    </w:p>
    <w:p>
      <w:pPr>
        <w:pStyle w:val="23"/>
        <w:ind w:firstLine="0" w:firstLineChars="0"/>
        <w:rPr>
          <w:color w:val="auto"/>
          <w:highlight w:val="none"/>
        </w:rPr>
      </w:pPr>
    </w:p>
    <w:sectPr>
      <w:footerReference r:id="rId6"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insoku w:val="0"/>
      <w:overflowPunct w:val="0"/>
      <w:spacing w:line="14" w:lineRule="auto"/>
      <w:rPr>
        <w:rFonts w:ascii="Times New Roman" w:eastAsiaTheme="minorEastAsia"/>
        <w:sz w:val="20"/>
        <w:szCs w:val="20"/>
      </w:rPr>
    </w:pPr>
    <w:r>
      <mc:AlternateContent>
        <mc:Choice Requires="wps">
          <w:drawing>
            <wp:anchor distT="0" distB="0" distL="114300" distR="114300" simplePos="0" relativeHeight="251660288" behindDoc="1" locked="0" layoutInCell="0" allowOverlap="1">
              <wp:simplePos x="0" y="0"/>
              <wp:positionH relativeFrom="page">
                <wp:posOffset>6703060</wp:posOffset>
              </wp:positionH>
              <wp:positionV relativeFrom="page">
                <wp:posOffset>10010775</wp:posOffset>
              </wp:positionV>
              <wp:extent cx="167005" cy="15240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4</w:t>
                          </w:r>
                          <w:r>
                            <w:rPr>
                              <w:rFonts w:ascii="Times New Roman" w:eastAsiaTheme="minorEastAsia"/>
                              <w:sz w:val="18"/>
                              <w:szCs w:val="18"/>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527.8pt;margin-top:788.25pt;height:12pt;width:13.15pt;mso-position-horizontal-relative:page;mso-position-vertical-relative:page;z-index:-251656192;mso-width-relative:page;mso-height-relative:page;" filled="f" stroked="f" coordsize="21600,21600" o:allowincell="f" o:gfxdata="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MCoO6dsAAAAPAQAADwAAAAAAAAABACAAAAAiAAAAZHJzL2Rvd25y&#10;ZXYueG1sUEsBAhQAFAAAAAgAh07iQLRQMsX7AQAAAwQAAA4AAAAAAAAAAQAgAAAAKgEAAGRycy9l&#10;Mm9Eb2MueG1sUEsFBgAAAAAGAAYAWQEAAJcFAAAAAA==&#10;">
              <v:fill on="f" focussize="0,0"/>
              <v:stroke on="f"/>
              <v:imagedata o:title=""/>
              <o:lock v:ext="edit" aspectratio="f"/>
              <v:textbox inset="0mm,0mm,0mm,0mm">
                <w:txbxContent>
                  <w:p>
                    <w:pPr>
                      <w:pStyle w:val="11"/>
                      <w:kinsoku w:val="0"/>
                      <w:overflowPunct w:val="0"/>
                      <w:spacing w:before="12"/>
                      <w:ind w:left="40"/>
                      <w:rPr>
                        <w:rFonts w:ascii="Times New Roman" w:eastAsiaTheme="minorEastAsia"/>
                        <w:sz w:val="18"/>
                        <w:szCs w:val="18"/>
                      </w:rPr>
                    </w:pPr>
                    <w:r>
                      <w:rPr>
                        <w:rFonts w:ascii="Times New Roman" w:eastAsiaTheme="minorEastAsia"/>
                        <w:sz w:val="18"/>
                        <w:szCs w:val="18"/>
                      </w:rPr>
                      <w:fldChar w:fldCharType="begin"/>
                    </w:r>
                    <w:r>
                      <w:rPr>
                        <w:rFonts w:ascii="Times New Roman" w:eastAsiaTheme="minorEastAsia"/>
                        <w:sz w:val="18"/>
                        <w:szCs w:val="18"/>
                      </w:rPr>
                      <w:instrText xml:space="preserve"> PAGE </w:instrText>
                    </w:r>
                    <w:r>
                      <w:rPr>
                        <w:rFonts w:ascii="Times New Roman" w:eastAsiaTheme="minorEastAsia"/>
                        <w:sz w:val="18"/>
                        <w:szCs w:val="18"/>
                      </w:rPr>
                      <w:fldChar w:fldCharType="separate"/>
                    </w:r>
                    <w:r>
                      <w:rPr>
                        <w:rFonts w:ascii="Times New Roman" w:eastAsiaTheme="minorEastAsia"/>
                        <w:sz w:val="18"/>
                        <w:szCs w:val="18"/>
                      </w:rPr>
                      <w:t>4</w:t>
                    </w:r>
                    <w:r>
                      <w:rPr>
                        <w:rFonts w:ascii="Times New Roman" w:eastAsiaTheme="minorEastAsia"/>
                        <w:sz w:val="18"/>
                        <w:szCs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w:t>
    </w:r>
    <w:r>
      <w:rPr>
        <w:rFonts w:hint="eastAsia"/>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4">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7">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9">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1">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2">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4">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5">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8">
    <w:nsid w:val="6DBF04F4"/>
    <w:multiLevelType w:val="multilevel"/>
    <w:tmpl w:val="6DBF04F4"/>
    <w:lvl w:ilvl="0" w:tentative="0">
      <w:start w:val="1"/>
      <w:numFmt w:val="none"/>
      <w:pStyle w:val="26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426"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1">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0"/>
  </w:num>
  <w:num w:numId="2">
    <w:abstractNumId w:val="19"/>
    <w:lvlOverride w:ilvl="0">
      <w:lvl w:ilvl="0" w:tentative="1">
        <w:start w:val="1"/>
        <w:numFmt w:val="decimal"/>
        <w:suff w:val="nothing"/>
        <w:lvlText w:val="%1　"/>
        <w:lvlJc w:val="left"/>
        <w:pPr>
          <w:ind w:left="665"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17"/>
  </w:num>
  <w:num w:numId="4">
    <w:abstractNumId w:val="20"/>
  </w:num>
  <w:num w:numId="5">
    <w:abstractNumId w:val="11"/>
  </w:num>
  <w:num w:numId="6">
    <w:abstractNumId w:val="3"/>
  </w:num>
  <w:num w:numId="7">
    <w:abstractNumId w:val="8"/>
  </w:num>
  <w:num w:numId="8">
    <w:abstractNumId w:val="7"/>
  </w:num>
  <w:num w:numId="9">
    <w:abstractNumId w:val="9"/>
  </w:num>
  <w:num w:numId="10">
    <w:abstractNumId w:val="21"/>
  </w:num>
  <w:num w:numId="11">
    <w:abstractNumId w:val="13"/>
  </w:num>
  <w:num w:numId="12">
    <w:abstractNumId w:val="1"/>
  </w:num>
  <w:num w:numId="13">
    <w:abstractNumId w:val="19"/>
  </w:num>
  <w:num w:numId="14">
    <w:abstractNumId w:val="5"/>
  </w:num>
  <w:num w:numId="15">
    <w:abstractNumId w:val="6"/>
  </w:num>
  <w:num w:numId="16">
    <w:abstractNumId w:val="14"/>
  </w:num>
  <w:num w:numId="17">
    <w:abstractNumId w:val="0"/>
  </w:num>
  <w:num w:numId="18">
    <w:abstractNumId w:val="4"/>
  </w:num>
  <w:num w:numId="19">
    <w:abstractNumId w:val="12"/>
  </w:num>
  <w:num w:numId="20">
    <w:abstractNumId w:val="2"/>
  </w:num>
  <w:num w:numId="21">
    <w:abstractNumId w:val="16"/>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07B81"/>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096A"/>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97E59"/>
    <w:rsid w:val="000A6C62"/>
    <w:rsid w:val="000C1416"/>
    <w:rsid w:val="000C1EDA"/>
    <w:rsid w:val="000C6FDF"/>
    <w:rsid w:val="000D0C70"/>
    <w:rsid w:val="000D1ABD"/>
    <w:rsid w:val="000E03F4"/>
    <w:rsid w:val="000E3C6E"/>
    <w:rsid w:val="000F0433"/>
    <w:rsid w:val="000F4826"/>
    <w:rsid w:val="000F741A"/>
    <w:rsid w:val="0010257B"/>
    <w:rsid w:val="00105BA2"/>
    <w:rsid w:val="001118F4"/>
    <w:rsid w:val="00112D63"/>
    <w:rsid w:val="00115732"/>
    <w:rsid w:val="00120AD2"/>
    <w:rsid w:val="00122A4B"/>
    <w:rsid w:val="00122A9B"/>
    <w:rsid w:val="00125CF8"/>
    <w:rsid w:val="00126C4D"/>
    <w:rsid w:val="00127CBF"/>
    <w:rsid w:val="0013366C"/>
    <w:rsid w:val="001349E5"/>
    <w:rsid w:val="00134BB5"/>
    <w:rsid w:val="001353B5"/>
    <w:rsid w:val="00135418"/>
    <w:rsid w:val="001427E8"/>
    <w:rsid w:val="00144458"/>
    <w:rsid w:val="00146C69"/>
    <w:rsid w:val="001633C6"/>
    <w:rsid w:val="001726D5"/>
    <w:rsid w:val="001730E9"/>
    <w:rsid w:val="0018343A"/>
    <w:rsid w:val="0018656D"/>
    <w:rsid w:val="00186874"/>
    <w:rsid w:val="00187BEE"/>
    <w:rsid w:val="00187C0E"/>
    <w:rsid w:val="001966B7"/>
    <w:rsid w:val="001A0E88"/>
    <w:rsid w:val="001A3E95"/>
    <w:rsid w:val="001A5604"/>
    <w:rsid w:val="001A6316"/>
    <w:rsid w:val="001B1818"/>
    <w:rsid w:val="001B435D"/>
    <w:rsid w:val="001B7FDD"/>
    <w:rsid w:val="001C2639"/>
    <w:rsid w:val="001C4C0A"/>
    <w:rsid w:val="001C5C9B"/>
    <w:rsid w:val="001C7FEC"/>
    <w:rsid w:val="001D0D7E"/>
    <w:rsid w:val="001D6C92"/>
    <w:rsid w:val="001E6424"/>
    <w:rsid w:val="001E775B"/>
    <w:rsid w:val="001E7DCC"/>
    <w:rsid w:val="001F1221"/>
    <w:rsid w:val="001F22A2"/>
    <w:rsid w:val="001F28F3"/>
    <w:rsid w:val="001F6821"/>
    <w:rsid w:val="001F6C2E"/>
    <w:rsid w:val="001F748E"/>
    <w:rsid w:val="002034B4"/>
    <w:rsid w:val="00203F77"/>
    <w:rsid w:val="00206AFD"/>
    <w:rsid w:val="00217755"/>
    <w:rsid w:val="002179E5"/>
    <w:rsid w:val="002212CF"/>
    <w:rsid w:val="0022356A"/>
    <w:rsid w:val="00224E7F"/>
    <w:rsid w:val="002278D9"/>
    <w:rsid w:val="00231B31"/>
    <w:rsid w:val="002325EC"/>
    <w:rsid w:val="00233A3F"/>
    <w:rsid w:val="002355A1"/>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3B29"/>
    <w:rsid w:val="00294C67"/>
    <w:rsid w:val="00296E84"/>
    <w:rsid w:val="002A7716"/>
    <w:rsid w:val="002B07EC"/>
    <w:rsid w:val="002B1FB4"/>
    <w:rsid w:val="002B3576"/>
    <w:rsid w:val="002B3FC5"/>
    <w:rsid w:val="002C1968"/>
    <w:rsid w:val="002D1BFD"/>
    <w:rsid w:val="002D49DA"/>
    <w:rsid w:val="002F2D9C"/>
    <w:rsid w:val="002F3E5E"/>
    <w:rsid w:val="002F6D1E"/>
    <w:rsid w:val="00303432"/>
    <w:rsid w:val="003052AE"/>
    <w:rsid w:val="00312DA2"/>
    <w:rsid w:val="00315A9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14C"/>
    <w:rsid w:val="0035793F"/>
    <w:rsid w:val="00357AEC"/>
    <w:rsid w:val="003605F7"/>
    <w:rsid w:val="003611B7"/>
    <w:rsid w:val="0036259C"/>
    <w:rsid w:val="00364DAA"/>
    <w:rsid w:val="0036576D"/>
    <w:rsid w:val="00373094"/>
    <w:rsid w:val="00375F09"/>
    <w:rsid w:val="00375F5D"/>
    <w:rsid w:val="0037677B"/>
    <w:rsid w:val="003812F3"/>
    <w:rsid w:val="00381407"/>
    <w:rsid w:val="00383C7D"/>
    <w:rsid w:val="00385B11"/>
    <w:rsid w:val="00387CBE"/>
    <w:rsid w:val="00394C9B"/>
    <w:rsid w:val="003A02F4"/>
    <w:rsid w:val="003A05E3"/>
    <w:rsid w:val="003A6A73"/>
    <w:rsid w:val="003B1D6E"/>
    <w:rsid w:val="003C1013"/>
    <w:rsid w:val="003C1576"/>
    <w:rsid w:val="003C2D28"/>
    <w:rsid w:val="003C4D1D"/>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47FA"/>
    <w:rsid w:val="00407650"/>
    <w:rsid w:val="00407AAC"/>
    <w:rsid w:val="004114F0"/>
    <w:rsid w:val="00416974"/>
    <w:rsid w:val="0042492E"/>
    <w:rsid w:val="00424E16"/>
    <w:rsid w:val="00426066"/>
    <w:rsid w:val="00433C41"/>
    <w:rsid w:val="00433F3F"/>
    <w:rsid w:val="00435206"/>
    <w:rsid w:val="00437324"/>
    <w:rsid w:val="00437965"/>
    <w:rsid w:val="004403CD"/>
    <w:rsid w:val="0044463B"/>
    <w:rsid w:val="00447118"/>
    <w:rsid w:val="00447D8D"/>
    <w:rsid w:val="00447E2B"/>
    <w:rsid w:val="0045024F"/>
    <w:rsid w:val="004503C7"/>
    <w:rsid w:val="00454664"/>
    <w:rsid w:val="004557B5"/>
    <w:rsid w:val="00455A0A"/>
    <w:rsid w:val="00461996"/>
    <w:rsid w:val="00461F8D"/>
    <w:rsid w:val="0047045B"/>
    <w:rsid w:val="00475E1E"/>
    <w:rsid w:val="00476138"/>
    <w:rsid w:val="00482341"/>
    <w:rsid w:val="00482B50"/>
    <w:rsid w:val="0048307D"/>
    <w:rsid w:val="00490D7C"/>
    <w:rsid w:val="00492BD8"/>
    <w:rsid w:val="0049559A"/>
    <w:rsid w:val="00497915"/>
    <w:rsid w:val="004A0C38"/>
    <w:rsid w:val="004A4222"/>
    <w:rsid w:val="004A529F"/>
    <w:rsid w:val="004A67A4"/>
    <w:rsid w:val="004A70DF"/>
    <w:rsid w:val="004A7251"/>
    <w:rsid w:val="004B0E7F"/>
    <w:rsid w:val="004B1FBF"/>
    <w:rsid w:val="004B29E7"/>
    <w:rsid w:val="004B31E7"/>
    <w:rsid w:val="004B3703"/>
    <w:rsid w:val="004B6C02"/>
    <w:rsid w:val="004B71FE"/>
    <w:rsid w:val="004B7264"/>
    <w:rsid w:val="004C4238"/>
    <w:rsid w:val="004C599C"/>
    <w:rsid w:val="004C73BB"/>
    <w:rsid w:val="004D2468"/>
    <w:rsid w:val="004D36A0"/>
    <w:rsid w:val="004D792C"/>
    <w:rsid w:val="004E7078"/>
    <w:rsid w:val="004F0EF3"/>
    <w:rsid w:val="004F1DE2"/>
    <w:rsid w:val="004F2042"/>
    <w:rsid w:val="004F526E"/>
    <w:rsid w:val="00507778"/>
    <w:rsid w:val="00513A2C"/>
    <w:rsid w:val="00513EC8"/>
    <w:rsid w:val="00514325"/>
    <w:rsid w:val="005224F7"/>
    <w:rsid w:val="00524D76"/>
    <w:rsid w:val="00524F7F"/>
    <w:rsid w:val="005278B3"/>
    <w:rsid w:val="00531A03"/>
    <w:rsid w:val="00543A3F"/>
    <w:rsid w:val="00544D05"/>
    <w:rsid w:val="005452C4"/>
    <w:rsid w:val="00546B9A"/>
    <w:rsid w:val="00552B4E"/>
    <w:rsid w:val="0055766C"/>
    <w:rsid w:val="00564BF8"/>
    <w:rsid w:val="005711B5"/>
    <w:rsid w:val="00573C6B"/>
    <w:rsid w:val="0057762A"/>
    <w:rsid w:val="00582CD9"/>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581E"/>
    <w:rsid w:val="005E5F2D"/>
    <w:rsid w:val="005E62DC"/>
    <w:rsid w:val="005F5B58"/>
    <w:rsid w:val="005F608D"/>
    <w:rsid w:val="006122F0"/>
    <w:rsid w:val="006128C6"/>
    <w:rsid w:val="00612981"/>
    <w:rsid w:val="00617977"/>
    <w:rsid w:val="00624DBB"/>
    <w:rsid w:val="006257B3"/>
    <w:rsid w:val="00643ACD"/>
    <w:rsid w:val="00644263"/>
    <w:rsid w:val="00646B8E"/>
    <w:rsid w:val="00647F7A"/>
    <w:rsid w:val="0065264E"/>
    <w:rsid w:val="006529AC"/>
    <w:rsid w:val="00653055"/>
    <w:rsid w:val="006537D6"/>
    <w:rsid w:val="00654888"/>
    <w:rsid w:val="00656191"/>
    <w:rsid w:val="0066073A"/>
    <w:rsid w:val="00660E3E"/>
    <w:rsid w:val="00661B1C"/>
    <w:rsid w:val="00670BAE"/>
    <w:rsid w:val="0067576F"/>
    <w:rsid w:val="006757B6"/>
    <w:rsid w:val="006767A6"/>
    <w:rsid w:val="006858CA"/>
    <w:rsid w:val="006868D2"/>
    <w:rsid w:val="00690C6F"/>
    <w:rsid w:val="00690F70"/>
    <w:rsid w:val="00692678"/>
    <w:rsid w:val="00694FB4"/>
    <w:rsid w:val="006951B4"/>
    <w:rsid w:val="006A05ED"/>
    <w:rsid w:val="006A1C17"/>
    <w:rsid w:val="006A22C7"/>
    <w:rsid w:val="006A26C4"/>
    <w:rsid w:val="006B4E48"/>
    <w:rsid w:val="006C5919"/>
    <w:rsid w:val="006C61D1"/>
    <w:rsid w:val="006C7D98"/>
    <w:rsid w:val="006C7F3E"/>
    <w:rsid w:val="006D1196"/>
    <w:rsid w:val="006D2E8A"/>
    <w:rsid w:val="006D56FF"/>
    <w:rsid w:val="006D6A12"/>
    <w:rsid w:val="006E12EA"/>
    <w:rsid w:val="006E1D67"/>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1606"/>
    <w:rsid w:val="00742E11"/>
    <w:rsid w:val="007572ED"/>
    <w:rsid w:val="00760B15"/>
    <w:rsid w:val="007631FD"/>
    <w:rsid w:val="00763EDB"/>
    <w:rsid w:val="00765304"/>
    <w:rsid w:val="0076693A"/>
    <w:rsid w:val="00766940"/>
    <w:rsid w:val="00766D5E"/>
    <w:rsid w:val="00773776"/>
    <w:rsid w:val="00774771"/>
    <w:rsid w:val="00780025"/>
    <w:rsid w:val="00781C50"/>
    <w:rsid w:val="00782733"/>
    <w:rsid w:val="00785A1E"/>
    <w:rsid w:val="0079273C"/>
    <w:rsid w:val="00792ADE"/>
    <w:rsid w:val="00797451"/>
    <w:rsid w:val="007A04B5"/>
    <w:rsid w:val="007A1805"/>
    <w:rsid w:val="007A1F7C"/>
    <w:rsid w:val="007A4018"/>
    <w:rsid w:val="007B0B53"/>
    <w:rsid w:val="007B7487"/>
    <w:rsid w:val="007C10C1"/>
    <w:rsid w:val="007C10F2"/>
    <w:rsid w:val="007C3D9D"/>
    <w:rsid w:val="007C7901"/>
    <w:rsid w:val="007D1BF2"/>
    <w:rsid w:val="007D1F29"/>
    <w:rsid w:val="007D2580"/>
    <w:rsid w:val="007D2F75"/>
    <w:rsid w:val="007D39FC"/>
    <w:rsid w:val="007D64C2"/>
    <w:rsid w:val="007D6DF6"/>
    <w:rsid w:val="007D76EC"/>
    <w:rsid w:val="007E0E9F"/>
    <w:rsid w:val="007E500A"/>
    <w:rsid w:val="007F2263"/>
    <w:rsid w:val="007F237D"/>
    <w:rsid w:val="007F3E25"/>
    <w:rsid w:val="007F41E4"/>
    <w:rsid w:val="007F461C"/>
    <w:rsid w:val="007F50D6"/>
    <w:rsid w:val="007F6CFF"/>
    <w:rsid w:val="007F7EB1"/>
    <w:rsid w:val="0080260F"/>
    <w:rsid w:val="0080554D"/>
    <w:rsid w:val="00812D01"/>
    <w:rsid w:val="0082183C"/>
    <w:rsid w:val="00827120"/>
    <w:rsid w:val="008456C3"/>
    <w:rsid w:val="00846F99"/>
    <w:rsid w:val="0085152C"/>
    <w:rsid w:val="008518D1"/>
    <w:rsid w:val="00861ED6"/>
    <w:rsid w:val="00864A73"/>
    <w:rsid w:val="008664C4"/>
    <w:rsid w:val="00867176"/>
    <w:rsid w:val="0086794C"/>
    <w:rsid w:val="008708FE"/>
    <w:rsid w:val="008709D9"/>
    <w:rsid w:val="00871480"/>
    <w:rsid w:val="008722F5"/>
    <w:rsid w:val="00873C66"/>
    <w:rsid w:val="00876408"/>
    <w:rsid w:val="00886CE1"/>
    <w:rsid w:val="008902F1"/>
    <w:rsid w:val="00890D0C"/>
    <w:rsid w:val="00891E5C"/>
    <w:rsid w:val="008958D9"/>
    <w:rsid w:val="008966BA"/>
    <w:rsid w:val="008A0829"/>
    <w:rsid w:val="008A1274"/>
    <w:rsid w:val="008A447E"/>
    <w:rsid w:val="008A466F"/>
    <w:rsid w:val="008A5792"/>
    <w:rsid w:val="008B7300"/>
    <w:rsid w:val="008C07A3"/>
    <w:rsid w:val="008C340C"/>
    <w:rsid w:val="008C71D2"/>
    <w:rsid w:val="008D4D82"/>
    <w:rsid w:val="008E55CF"/>
    <w:rsid w:val="008F519C"/>
    <w:rsid w:val="008F622E"/>
    <w:rsid w:val="009043B5"/>
    <w:rsid w:val="00904E8A"/>
    <w:rsid w:val="00907644"/>
    <w:rsid w:val="00910C04"/>
    <w:rsid w:val="00911D84"/>
    <w:rsid w:val="00913B29"/>
    <w:rsid w:val="009154E9"/>
    <w:rsid w:val="00917819"/>
    <w:rsid w:val="009225C1"/>
    <w:rsid w:val="009232BD"/>
    <w:rsid w:val="00932B00"/>
    <w:rsid w:val="00934FFB"/>
    <w:rsid w:val="00935136"/>
    <w:rsid w:val="009358C0"/>
    <w:rsid w:val="0093704D"/>
    <w:rsid w:val="0094562C"/>
    <w:rsid w:val="0095048A"/>
    <w:rsid w:val="00950EB2"/>
    <w:rsid w:val="00953A9E"/>
    <w:rsid w:val="009551D8"/>
    <w:rsid w:val="00960D1E"/>
    <w:rsid w:val="00963743"/>
    <w:rsid w:val="00964AE0"/>
    <w:rsid w:val="009651A4"/>
    <w:rsid w:val="00965BA4"/>
    <w:rsid w:val="0096689E"/>
    <w:rsid w:val="00973173"/>
    <w:rsid w:val="00975A15"/>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D1110"/>
    <w:rsid w:val="009E10BD"/>
    <w:rsid w:val="009E11E6"/>
    <w:rsid w:val="009E1636"/>
    <w:rsid w:val="009E19F9"/>
    <w:rsid w:val="009E53D5"/>
    <w:rsid w:val="009E55CA"/>
    <w:rsid w:val="009F00B3"/>
    <w:rsid w:val="009F05B7"/>
    <w:rsid w:val="009F5D00"/>
    <w:rsid w:val="009F6779"/>
    <w:rsid w:val="00A018D8"/>
    <w:rsid w:val="00A01EB0"/>
    <w:rsid w:val="00A04AFF"/>
    <w:rsid w:val="00A06752"/>
    <w:rsid w:val="00A170EA"/>
    <w:rsid w:val="00A20136"/>
    <w:rsid w:val="00A22358"/>
    <w:rsid w:val="00A23699"/>
    <w:rsid w:val="00A30CF4"/>
    <w:rsid w:val="00A35218"/>
    <w:rsid w:val="00A41CE2"/>
    <w:rsid w:val="00A420E4"/>
    <w:rsid w:val="00A433C7"/>
    <w:rsid w:val="00A44977"/>
    <w:rsid w:val="00A44ACA"/>
    <w:rsid w:val="00A50963"/>
    <w:rsid w:val="00A532EF"/>
    <w:rsid w:val="00A54D24"/>
    <w:rsid w:val="00A6165C"/>
    <w:rsid w:val="00A6464E"/>
    <w:rsid w:val="00A67026"/>
    <w:rsid w:val="00A675F8"/>
    <w:rsid w:val="00A71915"/>
    <w:rsid w:val="00A73EC7"/>
    <w:rsid w:val="00A76931"/>
    <w:rsid w:val="00A76B1F"/>
    <w:rsid w:val="00A77C47"/>
    <w:rsid w:val="00A82210"/>
    <w:rsid w:val="00A96023"/>
    <w:rsid w:val="00AA04BC"/>
    <w:rsid w:val="00AA1F82"/>
    <w:rsid w:val="00AB19FF"/>
    <w:rsid w:val="00AB4626"/>
    <w:rsid w:val="00AC315E"/>
    <w:rsid w:val="00AC368A"/>
    <w:rsid w:val="00AC3786"/>
    <w:rsid w:val="00AC4EC7"/>
    <w:rsid w:val="00AC6304"/>
    <w:rsid w:val="00AC6E32"/>
    <w:rsid w:val="00AD611B"/>
    <w:rsid w:val="00AD71F4"/>
    <w:rsid w:val="00AE0DEC"/>
    <w:rsid w:val="00AE1A4A"/>
    <w:rsid w:val="00AE1E50"/>
    <w:rsid w:val="00AE24DD"/>
    <w:rsid w:val="00AE5E63"/>
    <w:rsid w:val="00AE67DE"/>
    <w:rsid w:val="00AF266A"/>
    <w:rsid w:val="00B01DA7"/>
    <w:rsid w:val="00B0362B"/>
    <w:rsid w:val="00B04B8C"/>
    <w:rsid w:val="00B05349"/>
    <w:rsid w:val="00B054EB"/>
    <w:rsid w:val="00B114F9"/>
    <w:rsid w:val="00B153CF"/>
    <w:rsid w:val="00B24490"/>
    <w:rsid w:val="00B2467D"/>
    <w:rsid w:val="00B25625"/>
    <w:rsid w:val="00B270ED"/>
    <w:rsid w:val="00B274C0"/>
    <w:rsid w:val="00B30CDD"/>
    <w:rsid w:val="00B319E8"/>
    <w:rsid w:val="00B35DA9"/>
    <w:rsid w:val="00B36383"/>
    <w:rsid w:val="00B370C0"/>
    <w:rsid w:val="00B404AB"/>
    <w:rsid w:val="00B4113F"/>
    <w:rsid w:val="00B416C4"/>
    <w:rsid w:val="00B43A12"/>
    <w:rsid w:val="00B4493E"/>
    <w:rsid w:val="00B45C24"/>
    <w:rsid w:val="00B54F6E"/>
    <w:rsid w:val="00B56DCE"/>
    <w:rsid w:val="00B57E8C"/>
    <w:rsid w:val="00B61021"/>
    <w:rsid w:val="00B61DF3"/>
    <w:rsid w:val="00B6306C"/>
    <w:rsid w:val="00B639AA"/>
    <w:rsid w:val="00B665F9"/>
    <w:rsid w:val="00B706C6"/>
    <w:rsid w:val="00B752F3"/>
    <w:rsid w:val="00B870BE"/>
    <w:rsid w:val="00B902E1"/>
    <w:rsid w:val="00B93C6E"/>
    <w:rsid w:val="00B95E29"/>
    <w:rsid w:val="00BA3235"/>
    <w:rsid w:val="00BA6A36"/>
    <w:rsid w:val="00BB1EA5"/>
    <w:rsid w:val="00BB77E8"/>
    <w:rsid w:val="00BC2D76"/>
    <w:rsid w:val="00BC3166"/>
    <w:rsid w:val="00BC3FF1"/>
    <w:rsid w:val="00BD24DC"/>
    <w:rsid w:val="00BD40A2"/>
    <w:rsid w:val="00BE4643"/>
    <w:rsid w:val="00BE5A35"/>
    <w:rsid w:val="00BE6933"/>
    <w:rsid w:val="00BE7C02"/>
    <w:rsid w:val="00BE7D96"/>
    <w:rsid w:val="00BF0368"/>
    <w:rsid w:val="00BF13BC"/>
    <w:rsid w:val="00BF2764"/>
    <w:rsid w:val="00BF57D7"/>
    <w:rsid w:val="00BF7BC9"/>
    <w:rsid w:val="00C108A1"/>
    <w:rsid w:val="00C13D42"/>
    <w:rsid w:val="00C17350"/>
    <w:rsid w:val="00C21FA0"/>
    <w:rsid w:val="00C2761A"/>
    <w:rsid w:val="00C27D45"/>
    <w:rsid w:val="00C31194"/>
    <w:rsid w:val="00C31399"/>
    <w:rsid w:val="00C31A5F"/>
    <w:rsid w:val="00C31A9E"/>
    <w:rsid w:val="00C3491A"/>
    <w:rsid w:val="00C36DF6"/>
    <w:rsid w:val="00C425E9"/>
    <w:rsid w:val="00C467AA"/>
    <w:rsid w:val="00C576B3"/>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2A9"/>
    <w:rsid w:val="00CA2E28"/>
    <w:rsid w:val="00CA362D"/>
    <w:rsid w:val="00CA4250"/>
    <w:rsid w:val="00CB0E68"/>
    <w:rsid w:val="00CB0FE3"/>
    <w:rsid w:val="00CB57EF"/>
    <w:rsid w:val="00CB5FCA"/>
    <w:rsid w:val="00CB6808"/>
    <w:rsid w:val="00CC6326"/>
    <w:rsid w:val="00CD04EF"/>
    <w:rsid w:val="00CD1407"/>
    <w:rsid w:val="00CD1819"/>
    <w:rsid w:val="00CD20A5"/>
    <w:rsid w:val="00CD2154"/>
    <w:rsid w:val="00CD405E"/>
    <w:rsid w:val="00CD599F"/>
    <w:rsid w:val="00CD67D7"/>
    <w:rsid w:val="00CE2B3E"/>
    <w:rsid w:val="00CE30B2"/>
    <w:rsid w:val="00CF17F5"/>
    <w:rsid w:val="00D007D1"/>
    <w:rsid w:val="00D01B1C"/>
    <w:rsid w:val="00D03DAF"/>
    <w:rsid w:val="00D06C38"/>
    <w:rsid w:val="00D1079D"/>
    <w:rsid w:val="00D10C65"/>
    <w:rsid w:val="00D11115"/>
    <w:rsid w:val="00D12882"/>
    <w:rsid w:val="00D165F1"/>
    <w:rsid w:val="00D32067"/>
    <w:rsid w:val="00D32D87"/>
    <w:rsid w:val="00D35A7F"/>
    <w:rsid w:val="00D37A4D"/>
    <w:rsid w:val="00D436D8"/>
    <w:rsid w:val="00D45B96"/>
    <w:rsid w:val="00D54BAC"/>
    <w:rsid w:val="00D67A5C"/>
    <w:rsid w:val="00D67F38"/>
    <w:rsid w:val="00D71D66"/>
    <w:rsid w:val="00D756FA"/>
    <w:rsid w:val="00D7712E"/>
    <w:rsid w:val="00D77A12"/>
    <w:rsid w:val="00D77BC3"/>
    <w:rsid w:val="00D84258"/>
    <w:rsid w:val="00D8713B"/>
    <w:rsid w:val="00D942AC"/>
    <w:rsid w:val="00D9707D"/>
    <w:rsid w:val="00D97D83"/>
    <w:rsid w:val="00DA0BD8"/>
    <w:rsid w:val="00DA16C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5F"/>
    <w:rsid w:val="00DE4BCA"/>
    <w:rsid w:val="00DF0874"/>
    <w:rsid w:val="00DF1D9B"/>
    <w:rsid w:val="00DF682B"/>
    <w:rsid w:val="00DF78BA"/>
    <w:rsid w:val="00E002AA"/>
    <w:rsid w:val="00E02EB6"/>
    <w:rsid w:val="00E03701"/>
    <w:rsid w:val="00E04423"/>
    <w:rsid w:val="00E06FC6"/>
    <w:rsid w:val="00E133B1"/>
    <w:rsid w:val="00E14C92"/>
    <w:rsid w:val="00E160AA"/>
    <w:rsid w:val="00E176D4"/>
    <w:rsid w:val="00E20AA4"/>
    <w:rsid w:val="00E25A14"/>
    <w:rsid w:val="00E30006"/>
    <w:rsid w:val="00E31192"/>
    <w:rsid w:val="00E32714"/>
    <w:rsid w:val="00E33D12"/>
    <w:rsid w:val="00E35FAB"/>
    <w:rsid w:val="00E4028D"/>
    <w:rsid w:val="00E41EF9"/>
    <w:rsid w:val="00E42995"/>
    <w:rsid w:val="00E42E35"/>
    <w:rsid w:val="00E4712E"/>
    <w:rsid w:val="00E50940"/>
    <w:rsid w:val="00E53289"/>
    <w:rsid w:val="00E53FED"/>
    <w:rsid w:val="00E62608"/>
    <w:rsid w:val="00E65955"/>
    <w:rsid w:val="00E677B5"/>
    <w:rsid w:val="00E716D7"/>
    <w:rsid w:val="00E71BA0"/>
    <w:rsid w:val="00E77EC8"/>
    <w:rsid w:val="00E80444"/>
    <w:rsid w:val="00E81990"/>
    <w:rsid w:val="00E829D4"/>
    <w:rsid w:val="00E86493"/>
    <w:rsid w:val="00E90712"/>
    <w:rsid w:val="00E93E1E"/>
    <w:rsid w:val="00E95994"/>
    <w:rsid w:val="00E97738"/>
    <w:rsid w:val="00EA1B53"/>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17E2E"/>
    <w:rsid w:val="00F21DA0"/>
    <w:rsid w:val="00F22BA9"/>
    <w:rsid w:val="00F235B0"/>
    <w:rsid w:val="00F243C8"/>
    <w:rsid w:val="00F265F0"/>
    <w:rsid w:val="00F26A7A"/>
    <w:rsid w:val="00F315DE"/>
    <w:rsid w:val="00F316BF"/>
    <w:rsid w:val="00F3407A"/>
    <w:rsid w:val="00F35B6B"/>
    <w:rsid w:val="00F45529"/>
    <w:rsid w:val="00F465DC"/>
    <w:rsid w:val="00F46E35"/>
    <w:rsid w:val="00F5006E"/>
    <w:rsid w:val="00F573AF"/>
    <w:rsid w:val="00F574E8"/>
    <w:rsid w:val="00F63B28"/>
    <w:rsid w:val="00F71BC7"/>
    <w:rsid w:val="00F8062F"/>
    <w:rsid w:val="00F80C34"/>
    <w:rsid w:val="00F90F27"/>
    <w:rsid w:val="00F929C2"/>
    <w:rsid w:val="00F95E08"/>
    <w:rsid w:val="00F96051"/>
    <w:rsid w:val="00FA5F7D"/>
    <w:rsid w:val="00FB1366"/>
    <w:rsid w:val="00FB4912"/>
    <w:rsid w:val="00FB61D5"/>
    <w:rsid w:val="00FC4C44"/>
    <w:rsid w:val="00FC79D7"/>
    <w:rsid w:val="00FD19C6"/>
    <w:rsid w:val="00FD3B58"/>
    <w:rsid w:val="00FE07D1"/>
    <w:rsid w:val="00FE35DF"/>
    <w:rsid w:val="00FE4549"/>
    <w:rsid w:val="00FE6DC9"/>
    <w:rsid w:val="00FE76C9"/>
    <w:rsid w:val="01C6081D"/>
    <w:rsid w:val="0396211E"/>
    <w:rsid w:val="040C70B8"/>
    <w:rsid w:val="048356C2"/>
    <w:rsid w:val="05214C6E"/>
    <w:rsid w:val="06C61515"/>
    <w:rsid w:val="07406A2D"/>
    <w:rsid w:val="076615CD"/>
    <w:rsid w:val="08335DA8"/>
    <w:rsid w:val="08511B03"/>
    <w:rsid w:val="0A4A0F15"/>
    <w:rsid w:val="0B707E0C"/>
    <w:rsid w:val="0BA26ECB"/>
    <w:rsid w:val="0BEA1150"/>
    <w:rsid w:val="0C3D6E4B"/>
    <w:rsid w:val="0CA14260"/>
    <w:rsid w:val="0D08560B"/>
    <w:rsid w:val="0E372F95"/>
    <w:rsid w:val="0F202F07"/>
    <w:rsid w:val="0F533FE2"/>
    <w:rsid w:val="0F7F7A9C"/>
    <w:rsid w:val="10393859"/>
    <w:rsid w:val="111F03D8"/>
    <w:rsid w:val="11756E91"/>
    <w:rsid w:val="12E0534B"/>
    <w:rsid w:val="143570C3"/>
    <w:rsid w:val="14B54C74"/>
    <w:rsid w:val="14F12CFE"/>
    <w:rsid w:val="156E326E"/>
    <w:rsid w:val="16643606"/>
    <w:rsid w:val="184941FD"/>
    <w:rsid w:val="185544E9"/>
    <w:rsid w:val="1965348B"/>
    <w:rsid w:val="19CC1262"/>
    <w:rsid w:val="1A4A1518"/>
    <w:rsid w:val="1BC837A0"/>
    <w:rsid w:val="1C7F6310"/>
    <w:rsid w:val="1C83130A"/>
    <w:rsid w:val="1D8E2655"/>
    <w:rsid w:val="1E8D37C0"/>
    <w:rsid w:val="1E910671"/>
    <w:rsid w:val="1EDF5BAD"/>
    <w:rsid w:val="1F5F2A1E"/>
    <w:rsid w:val="1F873F05"/>
    <w:rsid w:val="203B7217"/>
    <w:rsid w:val="20644E2A"/>
    <w:rsid w:val="21916579"/>
    <w:rsid w:val="21BB336B"/>
    <w:rsid w:val="22EB6C48"/>
    <w:rsid w:val="235627B3"/>
    <w:rsid w:val="26AC375A"/>
    <w:rsid w:val="28047B64"/>
    <w:rsid w:val="287603A7"/>
    <w:rsid w:val="29A05BEF"/>
    <w:rsid w:val="2A013DF1"/>
    <w:rsid w:val="2A0F4CC2"/>
    <w:rsid w:val="2A2B5331"/>
    <w:rsid w:val="2A736D9D"/>
    <w:rsid w:val="2BD40EB0"/>
    <w:rsid w:val="2C4C5E8B"/>
    <w:rsid w:val="2D5D3182"/>
    <w:rsid w:val="2F3276C7"/>
    <w:rsid w:val="2F9E15F6"/>
    <w:rsid w:val="2FE563BF"/>
    <w:rsid w:val="3029612C"/>
    <w:rsid w:val="306B6BAB"/>
    <w:rsid w:val="30C46074"/>
    <w:rsid w:val="33A53EC8"/>
    <w:rsid w:val="34151D8E"/>
    <w:rsid w:val="341D7E87"/>
    <w:rsid w:val="34AE1BA1"/>
    <w:rsid w:val="34C80BDF"/>
    <w:rsid w:val="3502328D"/>
    <w:rsid w:val="35483ACC"/>
    <w:rsid w:val="36BB3462"/>
    <w:rsid w:val="36E55085"/>
    <w:rsid w:val="37751AF0"/>
    <w:rsid w:val="38850185"/>
    <w:rsid w:val="38C64018"/>
    <w:rsid w:val="3A601CA4"/>
    <w:rsid w:val="3A9D5D02"/>
    <w:rsid w:val="3BBC06C3"/>
    <w:rsid w:val="3C831334"/>
    <w:rsid w:val="3C8F0DB1"/>
    <w:rsid w:val="3D6B5CC3"/>
    <w:rsid w:val="3F3E7D3E"/>
    <w:rsid w:val="3F457B27"/>
    <w:rsid w:val="3FAF7C14"/>
    <w:rsid w:val="3FFA1EC7"/>
    <w:rsid w:val="40826FD3"/>
    <w:rsid w:val="408978EB"/>
    <w:rsid w:val="40DA2DFB"/>
    <w:rsid w:val="414E50F4"/>
    <w:rsid w:val="42DB4B24"/>
    <w:rsid w:val="44105AB2"/>
    <w:rsid w:val="451A5EF2"/>
    <w:rsid w:val="45D61170"/>
    <w:rsid w:val="472D3C86"/>
    <w:rsid w:val="47480D31"/>
    <w:rsid w:val="474C413B"/>
    <w:rsid w:val="47CE187D"/>
    <w:rsid w:val="48B9451E"/>
    <w:rsid w:val="493C4A74"/>
    <w:rsid w:val="49695AF7"/>
    <w:rsid w:val="499D7B84"/>
    <w:rsid w:val="49A46A9C"/>
    <w:rsid w:val="49B82E3F"/>
    <w:rsid w:val="49C010F7"/>
    <w:rsid w:val="4A5A1AF2"/>
    <w:rsid w:val="4AD66E8F"/>
    <w:rsid w:val="4C39659B"/>
    <w:rsid w:val="4CF363A1"/>
    <w:rsid w:val="4DF07E6B"/>
    <w:rsid w:val="4E602391"/>
    <w:rsid w:val="4EBE750F"/>
    <w:rsid w:val="4EC10820"/>
    <w:rsid w:val="55256E16"/>
    <w:rsid w:val="568A134B"/>
    <w:rsid w:val="5704235B"/>
    <w:rsid w:val="57165D3A"/>
    <w:rsid w:val="573678DC"/>
    <w:rsid w:val="57BE3CD2"/>
    <w:rsid w:val="586D424A"/>
    <w:rsid w:val="59334136"/>
    <w:rsid w:val="59C344E4"/>
    <w:rsid w:val="59D91176"/>
    <w:rsid w:val="59E253A8"/>
    <w:rsid w:val="5A144FE4"/>
    <w:rsid w:val="5A9117B2"/>
    <w:rsid w:val="5AF54DB1"/>
    <w:rsid w:val="5B7820C2"/>
    <w:rsid w:val="5B822F01"/>
    <w:rsid w:val="5C1D7806"/>
    <w:rsid w:val="5C7F57FD"/>
    <w:rsid w:val="5C92241F"/>
    <w:rsid w:val="5CD3076E"/>
    <w:rsid w:val="5D4D7401"/>
    <w:rsid w:val="5DA11A4B"/>
    <w:rsid w:val="5E901EF3"/>
    <w:rsid w:val="5F217138"/>
    <w:rsid w:val="615B12C7"/>
    <w:rsid w:val="61A62DD9"/>
    <w:rsid w:val="61D357CA"/>
    <w:rsid w:val="627E55B4"/>
    <w:rsid w:val="63845DA1"/>
    <w:rsid w:val="63C33F93"/>
    <w:rsid w:val="64A81D34"/>
    <w:rsid w:val="65B71508"/>
    <w:rsid w:val="67D30150"/>
    <w:rsid w:val="67E039D7"/>
    <w:rsid w:val="68066C6F"/>
    <w:rsid w:val="6910451E"/>
    <w:rsid w:val="69134930"/>
    <w:rsid w:val="691A38F1"/>
    <w:rsid w:val="6D74345B"/>
    <w:rsid w:val="6EAD269B"/>
    <w:rsid w:val="6EB87C39"/>
    <w:rsid w:val="6EFC61DE"/>
    <w:rsid w:val="6F130D6B"/>
    <w:rsid w:val="6FDB6DB6"/>
    <w:rsid w:val="70C459E5"/>
    <w:rsid w:val="71241F08"/>
    <w:rsid w:val="71551F4C"/>
    <w:rsid w:val="7178712D"/>
    <w:rsid w:val="71E749BC"/>
    <w:rsid w:val="74B73D3A"/>
    <w:rsid w:val="74F07550"/>
    <w:rsid w:val="758A453A"/>
    <w:rsid w:val="75E64D79"/>
    <w:rsid w:val="76C35B86"/>
    <w:rsid w:val="773C174A"/>
    <w:rsid w:val="777C730B"/>
    <w:rsid w:val="78D5578B"/>
    <w:rsid w:val="79290390"/>
    <w:rsid w:val="795D1AEE"/>
    <w:rsid w:val="79D86BE9"/>
    <w:rsid w:val="7B016CDB"/>
    <w:rsid w:val="7C39190A"/>
    <w:rsid w:val="7C601D5B"/>
    <w:rsid w:val="7D3A57F1"/>
    <w:rsid w:val="7D80036F"/>
    <w:rsid w:val="7E6C272D"/>
    <w:rsid w:val="7F6806A3"/>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ind w:left="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cstheme="minorBidi"/>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cstheme="minorBidi"/>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Char"/>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Char"/>
    <w:basedOn w:val="19"/>
    <w:link w:val="4"/>
    <w:semiHidden/>
    <w:qFormat/>
    <w:uiPriority w:val="9"/>
    <w:rPr>
      <w:rFonts w:ascii="宋体" w:hAnsi="Times New Roman" w:eastAsia="宋体"/>
      <w:b/>
      <w:bCs/>
      <w:kern w:val="2"/>
      <w:sz w:val="32"/>
      <w:szCs w:val="32"/>
    </w:rPr>
  </w:style>
  <w:style w:type="character" w:customStyle="1" w:styleId="153">
    <w:name w:val="标题 4 Char"/>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Char"/>
    <w:basedOn w:val="19"/>
    <w:link w:val="6"/>
    <w:semiHidden/>
    <w:qFormat/>
    <w:uiPriority w:val="9"/>
    <w:rPr>
      <w:rFonts w:ascii="宋体" w:hAnsi="Times New Roman" w:eastAsia="宋体"/>
      <w:b/>
      <w:bCs/>
      <w:kern w:val="2"/>
      <w:sz w:val="28"/>
      <w:szCs w:val="28"/>
    </w:rPr>
  </w:style>
  <w:style w:type="character" w:customStyle="1" w:styleId="155">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Char"/>
    <w:basedOn w:val="19"/>
    <w:link w:val="8"/>
    <w:semiHidden/>
    <w:qFormat/>
    <w:uiPriority w:val="9"/>
    <w:rPr>
      <w:rFonts w:ascii="宋体" w:hAnsi="Times New Roman" w:eastAsia="宋体"/>
      <w:b/>
      <w:bCs/>
      <w:kern w:val="2"/>
      <w:sz w:val="24"/>
      <w:szCs w:val="24"/>
    </w:rPr>
  </w:style>
  <w:style w:type="character" w:customStyle="1" w:styleId="157">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Char"/>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Char"/>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Char"/>
    <w:basedOn w:val="19"/>
    <w:link w:val="14"/>
    <w:qFormat/>
    <w:uiPriority w:val="99"/>
    <w:rPr>
      <w:rFonts w:ascii="宋体" w:hAnsi="Times New Roman" w:eastAsia="宋体"/>
      <w:sz w:val="18"/>
      <w:szCs w:val="18"/>
    </w:rPr>
  </w:style>
  <w:style w:type="character" w:customStyle="1" w:styleId="233">
    <w:name w:val="页脚 Char"/>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Char"/>
    <w:basedOn w:val="19"/>
    <w:link w:val="11"/>
    <w:qFormat/>
    <w:uiPriority w:val="0"/>
    <w:rPr>
      <w:rFonts w:ascii="宋体" w:hAnsi="宋体" w:eastAsia="宋体" w:cs="Times New Roman"/>
      <w:kern w:val="2"/>
      <w:sz w:val="24"/>
      <w:szCs w:val="24"/>
    </w:rPr>
  </w:style>
  <w:style w:type="paragraph" w:customStyle="1" w:styleId="253">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Char"/>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Char"/>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jc w:val="both"/>
      <w:outlineLvl w:val="9"/>
    </w:pPr>
    <w:rPr>
      <w:rFonts w:ascii="宋体" w:hAnsi="宋体" w:cs="宋体"/>
      <w:kern w:val="2"/>
    </w:rPr>
  </w:style>
  <w:style w:type="table" w:customStyle="1" w:styleId="262">
    <w:name w:val="Table Normal1"/>
    <w:semiHidden/>
    <w:unhideWhenUsed/>
    <w:qFormat/>
    <w:uiPriority w:val="2"/>
    <w:pPr>
      <w:widowControl w:val="0"/>
      <w:autoSpaceDE w:val="0"/>
      <w:autoSpaceDN w:val="0"/>
    </w:pPr>
    <w:rPr>
      <w:rFonts w:cstheme="minorBidi"/>
      <w:sz w:val="22"/>
      <w:szCs w:val="22"/>
      <w:lang w:eastAsia="en-US"/>
    </w:rPr>
    <w:tblPr>
      <w:tblCellMar>
        <w:top w:w="0" w:type="dxa"/>
        <w:left w:w="0" w:type="dxa"/>
        <w:bottom w:w="0" w:type="dxa"/>
        <w:right w:w="0" w:type="dxa"/>
      </w:tblCellMar>
    </w:tblPr>
  </w:style>
  <w:style w:type="paragraph" w:customStyle="1" w:styleId="263">
    <w:name w:val="注："/>
    <w:next w:val="237"/>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74763"/>
    <w:rsid w:val="0008153B"/>
    <w:rsid w:val="000913D7"/>
    <w:rsid w:val="00107DCF"/>
    <w:rsid w:val="00150895"/>
    <w:rsid w:val="00194C1A"/>
    <w:rsid w:val="001F4A87"/>
    <w:rsid w:val="00200805"/>
    <w:rsid w:val="002051BC"/>
    <w:rsid w:val="00237224"/>
    <w:rsid w:val="00257A72"/>
    <w:rsid w:val="002D6AEB"/>
    <w:rsid w:val="002E326B"/>
    <w:rsid w:val="002E417D"/>
    <w:rsid w:val="00306777"/>
    <w:rsid w:val="00343315"/>
    <w:rsid w:val="00363B07"/>
    <w:rsid w:val="003763D0"/>
    <w:rsid w:val="003834C7"/>
    <w:rsid w:val="004557CA"/>
    <w:rsid w:val="004A45D2"/>
    <w:rsid w:val="00522A98"/>
    <w:rsid w:val="0054743B"/>
    <w:rsid w:val="00555031"/>
    <w:rsid w:val="005A1742"/>
    <w:rsid w:val="005D0125"/>
    <w:rsid w:val="005E4E75"/>
    <w:rsid w:val="005F42E5"/>
    <w:rsid w:val="006025BA"/>
    <w:rsid w:val="006241C9"/>
    <w:rsid w:val="00650A60"/>
    <w:rsid w:val="00650D44"/>
    <w:rsid w:val="00665D0E"/>
    <w:rsid w:val="0066736D"/>
    <w:rsid w:val="006B2BEE"/>
    <w:rsid w:val="006C4EFC"/>
    <w:rsid w:val="007179B7"/>
    <w:rsid w:val="007224B9"/>
    <w:rsid w:val="007A400F"/>
    <w:rsid w:val="007E51B8"/>
    <w:rsid w:val="00862341"/>
    <w:rsid w:val="00864AD6"/>
    <w:rsid w:val="00867FC7"/>
    <w:rsid w:val="008C398A"/>
    <w:rsid w:val="008E4BA8"/>
    <w:rsid w:val="0091698F"/>
    <w:rsid w:val="0093340E"/>
    <w:rsid w:val="0094711E"/>
    <w:rsid w:val="00964F21"/>
    <w:rsid w:val="009D4185"/>
    <w:rsid w:val="00A73CE4"/>
    <w:rsid w:val="00A97312"/>
    <w:rsid w:val="00AC0FCD"/>
    <w:rsid w:val="00AE6AE7"/>
    <w:rsid w:val="00AF4572"/>
    <w:rsid w:val="00B57E51"/>
    <w:rsid w:val="00B65F49"/>
    <w:rsid w:val="00B815C8"/>
    <w:rsid w:val="00BB65A3"/>
    <w:rsid w:val="00C031C8"/>
    <w:rsid w:val="00C52CA1"/>
    <w:rsid w:val="00CB5F86"/>
    <w:rsid w:val="00CC69AF"/>
    <w:rsid w:val="00CD72EB"/>
    <w:rsid w:val="00D022E4"/>
    <w:rsid w:val="00D26B26"/>
    <w:rsid w:val="00D31310"/>
    <w:rsid w:val="00D47D06"/>
    <w:rsid w:val="00D47D25"/>
    <w:rsid w:val="00D830D5"/>
    <w:rsid w:val="00D90313"/>
    <w:rsid w:val="00DB5AA2"/>
    <w:rsid w:val="00E9517D"/>
    <w:rsid w:val="00E97A6B"/>
    <w:rsid w:val="00EA44B2"/>
    <w:rsid w:val="00EA68E1"/>
    <w:rsid w:val="00EC593C"/>
    <w:rsid w:val="00ED42FE"/>
    <w:rsid w:val="00EF5588"/>
    <w:rsid w:val="00F046D9"/>
    <w:rsid w:val="00F830F6"/>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93BA5-7FC6-4C7A-8549-3614AA353423}">
  <ds:schemaRefs/>
</ds:datastoreItem>
</file>

<file path=docProps/app.xml><?xml version="1.0" encoding="utf-8"?>
<Properties xmlns="http://schemas.openxmlformats.org/officeDocument/2006/extended-properties" xmlns:vt="http://schemas.openxmlformats.org/officeDocument/2006/docPropsVTypes">
  <Template>Template</Template>
  <Pages>1</Pages>
  <Words>1302</Words>
  <Characters>7427</Characters>
  <Lines>61</Lines>
  <Paragraphs>17</Paragraphs>
  <TotalTime>185</TotalTime>
  <ScaleCrop>false</ScaleCrop>
  <LinksUpToDate>false</LinksUpToDate>
  <CharactersWithSpaces>8712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2025-04-14T02:29:00Z</dcterms:created>
  <dc:creator>陈超慧</dc:creator>
  <cp:lastModifiedBy>冬雪</cp:lastModifiedBy>
  <cp:lastPrinted>2025-05-13T06:57:00Z</cp:lastPrinted>
  <dcterms:modified xsi:type="dcterms:W3CDTF">2025-05-30T02:29:31Z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37AA7A65782C4ABCB09DEA2C5D090136</vt:lpwstr>
  </property>
</Properties>
</file>